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pacing w:line="520" w:lineRule="exact"/>
        <w:ind w:right="-168" w:rightChars="-80" w:firstLine="840" w:firstLineChars="300"/>
        <w:jc w:val="left"/>
        <w:rPr>
          <w:rFonts w:ascii="方正小标宋简体" w:hAnsi="方正小标宋简体" w:eastAsia="方正小标宋简体" w:cs="方正小标宋简体"/>
          <w:bCs/>
          <w:sz w:val="44"/>
          <w:szCs w:val="44"/>
          <w:lang w:val="zh-TW"/>
        </w:rPr>
      </w:pPr>
      <w:r>
        <w:rPr>
          <w:rFonts w:ascii="仿宋_GB2312" w:hAnsi="方正仿宋简体" w:eastAsia="仿宋_GB2312" w:cs="方正仿宋简体"/>
          <w:bCs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-868045</wp:posOffset>
            </wp:positionH>
            <wp:positionV relativeFrom="paragraph">
              <wp:posOffset>-502920</wp:posOffset>
            </wp:positionV>
            <wp:extent cx="2717800" cy="686435"/>
            <wp:effectExtent l="0" t="0" r="6350" b="0"/>
            <wp:wrapTight wrapText="bothSides">
              <wp:wrapPolygon>
                <wp:start x="454" y="0"/>
                <wp:lineTo x="151" y="2997"/>
                <wp:lineTo x="0" y="12588"/>
                <wp:lineTo x="303" y="19782"/>
                <wp:lineTo x="454" y="20981"/>
                <wp:lineTo x="21499" y="20981"/>
                <wp:lineTo x="21499" y="1199"/>
                <wp:lineTo x="16654" y="0"/>
                <wp:lineTo x="454" y="0"/>
              </wp:wrapPolygon>
            </wp:wrapTight>
            <wp:docPr id="1" name="图片 1" descr="D:\工作整理\文秘\公司简介及标识\20200806云投旅游LOGO\2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工作整理\文秘\公司简介及标识\20200806云投旅游LOGO\2-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68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uppressAutoHyphens/>
        <w:spacing w:line="560" w:lineRule="exact"/>
        <w:ind w:right="-168" w:rightChars="-80" w:firstLine="2209" w:firstLineChars="500"/>
        <w:jc w:val="left"/>
        <w:rPr>
          <w:rFonts w:ascii="方正小标宋简体" w:hAnsi="方正小标宋简体" w:eastAsia="方正小标宋简体" w:cs="方正小标宋简体"/>
          <w:b/>
          <w:sz w:val="44"/>
          <w:szCs w:val="44"/>
          <w:lang w:val="zh-TW" w:eastAsia="zh-TW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zh-TW" w:eastAsia="zh-TW"/>
        </w:rPr>
        <w:t>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投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zh-TW" w:eastAsia="zh-TW"/>
        </w:rPr>
        <w:t>旅游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企业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zh-TW" w:eastAsia="zh-TW"/>
        </w:rPr>
        <w:t>简介</w:t>
      </w:r>
    </w:p>
    <w:p>
      <w:pPr>
        <w:suppressAutoHyphens/>
        <w:spacing w:line="560" w:lineRule="exact"/>
        <w:ind w:left="-105" w:leftChars="-50" w:right="-168" w:rightChars="-80" w:firstLine="643" w:firstLineChars="200"/>
        <w:rPr>
          <w:rFonts w:ascii="方正黑体简体" w:hAnsi="方正黑体简体" w:eastAsia="方正黑体简体" w:cs="方正黑体简体"/>
          <w:b/>
          <w:sz w:val="32"/>
          <w:szCs w:val="32"/>
          <w:lang w:val="zh-CN"/>
        </w:rPr>
      </w:pPr>
    </w:p>
    <w:p>
      <w:pPr>
        <w:suppressAutoHyphens/>
        <w:spacing w:line="560" w:lineRule="exact"/>
        <w:ind w:left="-105" w:leftChars="-50" w:right="-168" w:rightChars="-80" w:firstLine="640" w:firstLineChars="200"/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</w:pP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为推进云南旅游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“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二次创业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”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，搭建云南省旅游产业投融资平台，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2005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年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10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月，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TW"/>
        </w:rPr>
        <w:t>经云南省人民政府《关于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组建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TW"/>
        </w:rPr>
        <w:t>云南省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旅游投资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TW"/>
        </w:rPr>
        <w:t>有限公司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有关事项的批复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TW"/>
        </w:rPr>
        <w:t>》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（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TW"/>
        </w:rPr>
        <w:t>云政发〔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2005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TW"/>
        </w:rPr>
        <w:t>〕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70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TW"/>
        </w:rPr>
        <w:t>号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）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TW"/>
        </w:rPr>
        <w:t>批准，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云南省旅游投资有限公司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CN"/>
        </w:rPr>
        <w:t>（简称“云投旅游”）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成立。公司注册资本金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15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亿元，是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云投集团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的全资子公司，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系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旗下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专业的旅游类投资公司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。云投旅游自成立以来，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作为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全省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旅游文化产业重点培育的龙头文旅企业及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CN"/>
        </w:rPr>
        <w:t>我省推动旅游二次创业的战略工具，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 w:eastAsia="zh-TW"/>
        </w:rPr>
        <w:t>按照“政府引导、市场机制、企业运作”的原则，紧紧围绕云南省发展战略、旅游产业政策和旅游区域规划的要求，积极发挥旅游产业省级投资主体作用，以培育知名旅游品牌为核心，以整合旅游资源、创新旅游开发思路为着力点，采取并购重组、自主培育、管理合作等方式，掌控诸多核心旅游资源，成为我省旅游产业的重要投资力量。</w:t>
      </w:r>
    </w:p>
    <w:p>
      <w:pPr>
        <w:pStyle w:val="6"/>
        <w:shd w:val="clear" w:color="auto" w:fill="FFFFFF"/>
        <w:spacing w:before="0" w:beforeAutospacing="0" w:after="0" w:afterAutospacing="0"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pacing w:val="4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TW"/>
        </w:rPr>
        <w:t>云投旅游股东单位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云投集团成立于1997年9月，注册资本242亿元，</w:t>
      </w:r>
      <w:r>
        <w:rPr>
          <w:rFonts w:hint="default" w:ascii="Times New Roman" w:hAnsi="Times New Roman" w:eastAsia="方正仿宋简体" w:cs="Times New Roman"/>
          <w:b/>
          <w:bCs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定位为</w:t>
      </w:r>
      <w:r>
        <w:rPr>
          <w:rFonts w:hint="default" w:ascii="Times New Roman" w:hAnsi="Times New Roman" w:eastAsia="方正仿宋简体" w:cs="Times New Roman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省政府的投融资平台、战略资源整合平台和企业化发展支撑平台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，是云南省目前资产规模最大的综合性投资公司。云投集团</w:t>
      </w:r>
      <w:r>
        <w:rPr>
          <w:rFonts w:hint="default" w:ascii="Times New Roman" w:hAnsi="Times New Roman" w:eastAsia="方正仿宋简体" w:cs="Times New Roman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持股省管企业包括：云南省国有金融资本控股集团有限公司、云南省能源投资集团有限公司、云南省贵金属新材料控股集团有限公司、云南省国有股权运营管理有限公司、云南省戎合投资控股有限公司；云投集团是富滇银行第一大股东、红塔证券（股票代码 601236)第二大股东、中银证券（股票代码 601696)第四大股东；控股贵研铂业（股票代码 600459)等主板上市公司；为中国投资协会国投委副会长单位、云南省投资协会会长单位、云南股权投资基金协会会长单位；获得国内“AAA”信用评级和全国第40家、云南省首家 TDFI 资格企业。截至2022年末，</w:t>
      </w:r>
      <w:r>
        <w:rPr>
          <w:rFonts w:hint="default" w:ascii="Times New Roman" w:hAnsi="Times New Roman" w:eastAsia="方正仿宋简体" w:cs="Times New Roman"/>
          <w:b/>
          <w:bCs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云投集团资产总额5865.72亿元，</w:t>
      </w:r>
      <w:r>
        <w:rPr>
          <w:rFonts w:hint="default" w:ascii="Times New Roman" w:hAnsi="Times New Roman" w:eastAsia="方正仿宋简体" w:cs="Times New Roman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已发展成为云南省资产规模最大的综合类投资控股企业，位列2022年“中国企业500强”第</w:t>
      </w:r>
      <w:r>
        <w:rPr>
          <w:rFonts w:hint="default" w:ascii="Times New Roman" w:hAnsi="Times New Roman" w:eastAsia="方正仿宋简体" w:cs="Times New Roman"/>
          <w:b/>
          <w:bCs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129</w:t>
      </w:r>
      <w:r>
        <w:rPr>
          <w:rFonts w:hint="default" w:ascii="Times New Roman" w:hAnsi="Times New Roman" w:eastAsia="方正仿宋简体" w:cs="Times New Roman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位，同时位列《财富》世界500强第</w:t>
      </w:r>
      <w:r>
        <w:rPr>
          <w:rFonts w:hint="default" w:ascii="Times New Roman" w:hAnsi="Times New Roman" w:eastAsia="方正仿宋简体" w:cs="Times New Roman"/>
          <w:b/>
          <w:bCs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447</w:t>
      </w:r>
      <w:r>
        <w:rPr>
          <w:rFonts w:hint="default" w:ascii="Times New Roman" w:hAnsi="Times New Roman" w:eastAsia="方正仿宋简体" w:cs="Times New Roman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位，是云南省唯一上榜企业；为促进全省稳增长和助推产业发展发挥了重要的骨干引领作用。</w:t>
      </w:r>
    </w:p>
    <w:p>
      <w:pPr>
        <w:pBdr>
          <w:bottom w:val="single" w:color="FFFFFF" w:sz="4" w:space="31"/>
        </w:pBdr>
        <w:tabs>
          <w:tab w:val="left" w:pos="5250"/>
        </w:tabs>
        <w:topLinePunct/>
        <w:spacing w:line="600" w:lineRule="exact"/>
        <w:ind w:firstLine="616" w:firstLineChars="200"/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  <w:lang w:val="zh-TW" w:eastAsia="zh-TW"/>
        </w:rPr>
        <w:t>云投旅游</w:t>
      </w:r>
      <w:r>
        <w:rPr>
          <w:rFonts w:hint="default" w:ascii="Times New Roman" w:hAnsi="Times New Roman" w:eastAsia="方正仿宋简体" w:cs="Times New Roman"/>
          <w:color w:val="000000" w:themeColor="text1"/>
          <w:sz w:val="36"/>
          <w:szCs w:val="36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业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  <w:lang w:val="zh-TW" w:eastAsia="zh-TW"/>
        </w:rPr>
        <w:t>务涵盖旅游资源融合、旅游产品开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发、旅游景区管理、文化旅游创意设计、文化旅游信息服务、体育娱乐、文化产业园、院线+影视剧投资、酒店（温泉）运管管理等专业，构建资源优质化、产品特色化、项目精品化、发展国际化、业务专业化的发展新格局。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CN"/>
        </w:rPr>
        <w:t>目前云投旅游员工总数3000余人，资产总额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CN"/>
        </w:rPr>
        <w:t>亿元，取得外部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zh-CN"/>
        </w:rPr>
        <w:t>AA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CN"/>
        </w:rPr>
        <w:t>主体信用评级，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  <w:t>疫情前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CN"/>
        </w:rPr>
        <w:t>全年接待游客人数约1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zh-CN"/>
        </w:rPr>
        <w:t>00万人。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实际控制大理旅游集团、金孔雀旅游集团等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7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家企业，参股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家企业，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投资运营管理1个5A景区（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  <w:lang w:val="zh-CN"/>
        </w:rPr>
        <w:t>崇圣寺三塔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），8个4A景区（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  <w:lang w:val="zh-CN"/>
        </w:rPr>
        <w:t>鸡足山、南诏风情岛、蝴蝶泉、原始森林公园、野象谷、大益茶庄、勐景来、热带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</w:rPr>
        <w:t>花卉园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），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</w:rPr>
        <w:t>2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个3A景区（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  <w:lang w:val="zh-CN"/>
        </w:rPr>
        <w:t>天龙八部影视城、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</w:rPr>
        <w:t>大理西湖景区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），以及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</w:rPr>
        <w:t>洱海公园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等，涵盖人文景区、雪山、高原湖泊、动植物自然保护区、少数民族村寨等多样类型；投资运营管理6条索道（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  <w:lang w:val="zh-CN"/>
        </w:rPr>
        <w:t>苍山洗马潭索道、中和索道、感通索道、鸡足山索道、野象谷索道、昆明旅游索道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），拥有洱海、澜沧江游船（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  <w:lang w:val="zh-CN"/>
        </w:rPr>
        <w:t>8艘大型游船，20余艘小型游船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），景区直通车，景区电瓶车等各类旅游交通；布局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  <w:lang w:val="zh-CN"/>
        </w:rPr>
        <w:t>旅务通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（专业旅游电子结算平台）、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  <w:lang w:val="zh-CN"/>
        </w:rPr>
        <w:t>云旅财沃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、</w:t>
      </w:r>
      <w:r>
        <w:rPr>
          <w:rFonts w:hint="default" w:ascii="Times New Roman" w:hAnsi="Times New Roman" w:eastAsia="方正仿宋简体" w:cs="Times New Roman"/>
          <w:b/>
          <w:kern w:val="0"/>
          <w:sz w:val="32"/>
          <w:szCs w:val="32"/>
          <w:lang w:val="zh-CN"/>
        </w:rPr>
        <w:t>版纳好行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lang w:val="zh-CN"/>
        </w:rPr>
        <w:t>等平台，布局散客客源市场；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</w:rPr>
        <w:t>创新文旅融合方式，组建</w:t>
      </w:r>
      <w:r>
        <w:rPr>
          <w:rFonts w:hint="default" w:ascii="Times New Roman" w:hAnsi="Times New Roman" w:eastAsia="方正仿宋简体" w:cs="Times New Roman"/>
          <w:b/>
          <w:spacing w:val="-6"/>
          <w:sz w:val="32"/>
          <w:szCs w:val="32"/>
          <w:shd w:val="clear" w:color="auto" w:fill="FFFFFF"/>
        </w:rPr>
        <w:t>旅游文创公司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</w:rPr>
        <w:t>，参股“</w:t>
      </w:r>
      <w:r>
        <w:rPr>
          <w:rFonts w:hint="default" w:ascii="Times New Roman" w:hAnsi="Times New Roman" w:eastAsia="方正仿宋简体" w:cs="Times New Roman"/>
          <w:sz w:val="32"/>
          <w:szCs w:val="32"/>
          <w:u w:color="191F25"/>
          <w:shd w:val="clear" w:color="auto" w:fill="FFFFFF"/>
        </w:rPr>
        <w:t>云南国有文化第一股”云南金彩视界有限公司，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</w:rPr>
        <w:t>以“新基建+旅游交通”为切入点，构建云南文旅交通大平台；主动服务和融入“一带一路”，在境外投资建设老挝</w:t>
      </w:r>
      <w:r>
        <w:rPr>
          <w:rFonts w:hint="default" w:ascii="Times New Roman" w:hAnsi="Times New Roman" w:eastAsia="方正仿宋简体" w:cs="Times New Roman"/>
          <w:b/>
          <w:spacing w:val="-6"/>
          <w:sz w:val="32"/>
          <w:szCs w:val="32"/>
          <w:shd w:val="clear" w:color="auto" w:fill="FFFFFF"/>
        </w:rPr>
        <w:t>“中老亚洲象种源繁育保护及救助中心”项目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</w:rPr>
        <w:t>和</w:t>
      </w:r>
      <w:r>
        <w:rPr>
          <w:rFonts w:hint="default" w:ascii="Times New Roman" w:hAnsi="Times New Roman" w:eastAsia="方正仿宋简体" w:cs="Times New Roman"/>
          <w:b/>
          <w:spacing w:val="-6"/>
          <w:sz w:val="32"/>
          <w:szCs w:val="32"/>
          <w:shd w:val="clear" w:color="auto" w:fill="FFFFFF"/>
        </w:rPr>
        <w:t>泰国清盛一号码头项目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</w:rPr>
        <w:t>。</w:t>
      </w:r>
    </w:p>
    <w:p>
      <w:pPr>
        <w:pBdr>
          <w:bottom w:val="single" w:color="FFFFFF" w:sz="4" w:space="31"/>
        </w:pBdr>
        <w:tabs>
          <w:tab w:val="left" w:pos="5250"/>
        </w:tabs>
        <w:topLinePunct/>
        <w:spacing w:line="600" w:lineRule="exact"/>
        <w:ind w:firstLine="616" w:firstLineChars="200"/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spacing w:val="-6"/>
          <w:sz w:val="32"/>
          <w:szCs w:val="32"/>
          <w:shd w:val="clear" w:color="auto" w:fill="FFFFFF"/>
        </w:rPr>
        <w:t>云投旅游紧紧围绕云投集团“12335”发展战略，锚定“朝着中国旅游集团20强迈进”总定位、总航标，在不断厚植核心主业的同时，积极融入全省聚力优化“三张牌”的战略布局，通过“大联合、大互动、大互补”等方式推进大滇西旅游环线建设，完善旅游产品，推动文化、健康、体育等与旅游的融合，采取轻投资，少建设、重运营，多保护、高创意，软推广的策略，顺应新形势，积极谋划好“全国统一大市场” 中旅游发展新机遇，力争从“旅游+”转向”+旅游”、旅游服务组织从“企业组织生态为中心”转向“平台组织生态为中心”、旅游发展方式从“要素驱动”转向“创新驱动”，从需求侧定义的旅游企业将逐渐转变为从供给侧定义的旅游企业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page" w:hAnchor="page" w:x="2071" w:y="1524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9"/>
      <w:framePr w:wrap="around" w:vAnchor="page" w:hAnchor="page" w:x="2071" w:y="15241"/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9C"/>
    <w:rsid w:val="00032B04"/>
    <w:rsid w:val="000340DB"/>
    <w:rsid w:val="0004027B"/>
    <w:rsid w:val="000620D3"/>
    <w:rsid w:val="00083A01"/>
    <w:rsid w:val="000F10D1"/>
    <w:rsid w:val="00102FE0"/>
    <w:rsid w:val="00121836"/>
    <w:rsid w:val="001506C2"/>
    <w:rsid w:val="00163AA2"/>
    <w:rsid w:val="001778DE"/>
    <w:rsid w:val="00180273"/>
    <w:rsid w:val="001D47BB"/>
    <w:rsid w:val="00203050"/>
    <w:rsid w:val="002113BB"/>
    <w:rsid w:val="00257781"/>
    <w:rsid w:val="0027241F"/>
    <w:rsid w:val="002779DB"/>
    <w:rsid w:val="002B51B7"/>
    <w:rsid w:val="002D14F2"/>
    <w:rsid w:val="002D1A8A"/>
    <w:rsid w:val="002D6BAA"/>
    <w:rsid w:val="00305C76"/>
    <w:rsid w:val="00314EAA"/>
    <w:rsid w:val="00333F57"/>
    <w:rsid w:val="00337942"/>
    <w:rsid w:val="00363620"/>
    <w:rsid w:val="003845D1"/>
    <w:rsid w:val="003A5B8D"/>
    <w:rsid w:val="003B2213"/>
    <w:rsid w:val="003C2DEE"/>
    <w:rsid w:val="00400AE9"/>
    <w:rsid w:val="0040341B"/>
    <w:rsid w:val="00403DFC"/>
    <w:rsid w:val="004050E1"/>
    <w:rsid w:val="004267BC"/>
    <w:rsid w:val="004503A0"/>
    <w:rsid w:val="00485833"/>
    <w:rsid w:val="004A3AB6"/>
    <w:rsid w:val="004A3AC5"/>
    <w:rsid w:val="004B581D"/>
    <w:rsid w:val="004C2783"/>
    <w:rsid w:val="0053346F"/>
    <w:rsid w:val="005479B0"/>
    <w:rsid w:val="00577F64"/>
    <w:rsid w:val="005A322A"/>
    <w:rsid w:val="005E1413"/>
    <w:rsid w:val="005E60FA"/>
    <w:rsid w:val="00633EDE"/>
    <w:rsid w:val="006377BC"/>
    <w:rsid w:val="00660E61"/>
    <w:rsid w:val="00697117"/>
    <w:rsid w:val="006D292B"/>
    <w:rsid w:val="00704A17"/>
    <w:rsid w:val="007278D0"/>
    <w:rsid w:val="0074401C"/>
    <w:rsid w:val="00781B10"/>
    <w:rsid w:val="007B6AFA"/>
    <w:rsid w:val="007C2BA1"/>
    <w:rsid w:val="007C5F52"/>
    <w:rsid w:val="007E1815"/>
    <w:rsid w:val="007E4111"/>
    <w:rsid w:val="007E4247"/>
    <w:rsid w:val="00825CCA"/>
    <w:rsid w:val="00841E4C"/>
    <w:rsid w:val="00842F74"/>
    <w:rsid w:val="00865233"/>
    <w:rsid w:val="00891EF0"/>
    <w:rsid w:val="00892032"/>
    <w:rsid w:val="008955C0"/>
    <w:rsid w:val="00895BAC"/>
    <w:rsid w:val="0089748D"/>
    <w:rsid w:val="008E0042"/>
    <w:rsid w:val="008E22FD"/>
    <w:rsid w:val="00916B28"/>
    <w:rsid w:val="009422F9"/>
    <w:rsid w:val="00944C80"/>
    <w:rsid w:val="00946574"/>
    <w:rsid w:val="00994EE4"/>
    <w:rsid w:val="00996E41"/>
    <w:rsid w:val="009A595B"/>
    <w:rsid w:val="009C3C5D"/>
    <w:rsid w:val="009D054F"/>
    <w:rsid w:val="00A65D9E"/>
    <w:rsid w:val="00A7048C"/>
    <w:rsid w:val="00A82CED"/>
    <w:rsid w:val="00AC6F64"/>
    <w:rsid w:val="00AD3B5F"/>
    <w:rsid w:val="00AE55A7"/>
    <w:rsid w:val="00B14317"/>
    <w:rsid w:val="00B3080C"/>
    <w:rsid w:val="00B353A7"/>
    <w:rsid w:val="00B7435F"/>
    <w:rsid w:val="00B85E16"/>
    <w:rsid w:val="00B952E0"/>
    <w:rsid w:val="00BF7A9C"/>
    <w:rsid w:val="00C0091E"/>
    <w:rsid w:val="00C17CF2"/>
    <w:rsid w:val="00C31072"/>
    <w:rsid w:val="00C55A01"/>
    <w:rsid w:val="00C561F0"/>
    <w:rsid w:val="00C56D3A"/>
    <w:rsid w:val="00CC049F"/>
    <w:rsid w:val="00CD79F2"/>
    <w:rsid w:val="00CF27B8"/>
    <w:rsid w:val="00D20A28"/>
    <w:rsid w:val="00D5167E"/>
    <w:rsid w:val="00D831EE"/>
    <w:rsid w:val="00D942BE"/>
    <w:rsid w:val="00DC6D1D"/>
    <w:rsid w:val="00E24FE2"/>
    <w:rsid w:val="00E34215"/>
    <w:rsid w:val="00E405FE"/>
    <w:rsid w:val="00EA1B7D"/>
    <w:rsid w:val="00EA60C2"/>
    <w:rsid w:val="00EB537C"/>
    <w:rsid w:val="00EC3BFC"/>
    <w:rsid w:val="00EC6F24"/>
    <w:rsid w:val="00F03B00"/>
    <w:rsid w:val="00F80D23"/>
    <w:rsid w:val="00F825C9"/>
    <w:rsid w:val="00FB6D79"/>
    <w:rsid w:val="00FD1194"/>
    <w:rsid w:val="00FD2604"/>
    <w:rsid w:val="00FE222A"/>
    <w:rsid w:val="00FE6BA4"/>
    <w:rsid w:val="05435F17"/>
    <w:rsid w:val="0D903C4C"/>
    <w:rsid w:val="109A5FAC"/>
    <w:rsid w:val="15F247F6"/>
    <w:rsid w:val="1A4070EC"/>
    <w:rsid w:val="1D375FCE"/>
    <w:rsid w:val="20764227"/>
    <w:rsid w:val="27FA04A4"/>
    <w:rsid w:val="29CA7ED9"/>
    <w:rsid w:val="2A784651"/>
    <w:rsid w:val="2C9D544E"/>
    <w:rsid w:val="2D920D95"/>
    <w:rsid w:val="2DE12B96"/>
    <w:rsid w:val="300510DF"/>
    <w:rsid w:val="32C617C7"/>
    <w:rsid w:val="33421C25"/>
    <w:rsid w:val="335242E1"/>
    <w:rsid w:val="36B315CD"/>
    <w:rsid w:val="3C6E27B6"/>
    <w:rsid w:val="44F404AD"/>
    <w:rsid w:val="45D47CDE"/>
    <w:rsid w:val="49556E1F"/>
    <w:rsid w:val="554D57FF"/>
    <w:rsid w:val="563C1647"/>
    <w:rsid w:val="584139ED"/>
    <w:rsid w:val="5C810DC2"/>
    <w:rsid w:val="66736A21"/>
    <w:rsid w:val="67184FB0"/>
    <w:rsid w:val="690D63D5"/>
    <w:rsid w:val="72175C3E"/>
    <w:rsid w:val="73503B9C"/>
    <w:rsid w:val="7541206D"/>
    <w:rsid w:val="765A5313"/>
    <w:rsid w:val="7B2E0AA4"/>
    <w:rsid w:val="7BA346A8"/>
    <w:rsid w:val="7E5F1BE0"/>
    <w:rsid w:val="DEE536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ind w:firstLine="420"/>
      <w:outlineLvl w:val="1"/>
    </w:pPr>
    <w:rPr>
      <w:rFonts w:ascii="黑体" w:hAnsi="宋体" w:eastAsia="黑体" w:cs="宋体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页脚1"/>
    <w:basedOn w:val="1"/>
    <w:next w:val="4"/>
    <w:link w:val="10"/>
    <w:unhideWhenUsed/>
    <w:qFormat/>
    <w:uiPriority w:val="99"/>
    <w:pPr>
      <w:framePr w:wrap="around" w:vAnchor="margin" w:hAnchor="text" w:y="1"/>
      <w:widowControl/>
      <w:tabs>
        <w:tab w:val="center" w:pos="4153"/>
        <w:tab w:val="right" w:pos="8306"/>
      </w:tabs>
      <w:snapToGrid w:val="0"/>
      <w:jc w:val="left"/>
    </w:pPr>
    <w:rPr>
      <w:sz w:val="18"/>
      <w:szCs w:val="18"/>
      <w:lang w:eastAsia="en-US"/>
    </w:rPr>
  </w:style>
  <w:style w:type="character" w:customStyle="1" w:styleId="10">
    <w:name w:val="页脚 Char"/>
    <w:basedOn w:val="8"/>
    <w:link w:val="9"/>
    <w:qFormat/>
    <w:uiPriority w:val="99"/>
    <w:rPr>
      <w:sz w:val="18"/>
      <w:szCs w:val="18"/>
      <w:lang w:eastAsia="en-US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NormalCharacter"/>
    <w:semiHidden/>
    <w:qFormat/>
    <w:uiPriority w:val="0"/>
    <w:rPr>
      <w:rFonts w:ascii="Times New Roman" w:hAnsi="Times New Roman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259</Words>
  <Characters>1481</Characters>
  <Lines>12</Lines>
  <Paragraphs>3</Paragraphs>
  <TotalTime>127</TotalTime>
  <ScaleCrop>false</ScaleCrop>
  <LinksUpToDate>false</LinksUpToDate>
  <CharactersWithSpaces>1737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2021-08-03T02:54:00Z</dcterms:created>
  <dc:creator>卞文达</dc:creator>
  <cp:lastModifiedBy>刘鹏翔</cp:lastModifiedBy>
  <cp:lastPrinted>2023-03-22T08:58:00Z</cp:lastPrinted>
  <dcterms:modified xsi:type="dcterms:W3CDTF">2023-03-23T03:14:17Z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C33586BB41EF404CB57E1C145C45B7A7</vt:lpwstr>
  </property>
</Properties>
</file>