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pPr w:leftFromText="180" w:rightFromText="180" w:vertAnchor="text" w:horzAnchor="page" w:tblpX="2102" w:tblpY="250"/>
        <w:tblOverlap w:val="never"/>
        <w:tblW w:w="4738" w:type="pct"/>
        <w:tblInd w:w="0" w:type="dxa"/>
        <w:tblLayout w:type="fixed"/>
        <w:tblCellMar>
          <w:top w:w="0" w:type="dxa"/>
          <w:left w:w="108" w:type="dxa"/>
          <w:bottom w:w="0" w:type="dxa"/>
          <w:right w:w="108" w:type="dxa"/>
        </w:tblCellMar>
      </w:tblPr>
      <w:tblGrid>
        <w:gridCol w:w="1045"/>
        <w:gridCol w:w="2675"/>
        <w:gridCol w:w="674"/>
        <w:gridCol w:w="2012"/>
        <w:gridCol w:w="6466"/>
        <w:gridCol w:w="559"/>
      </w:tblGrid>
      <w:tr>
        <w:tblPrEx>
          <w:tblCellMar>
            <w:top w:w="0" w:type="dxa"/>
            <w:left w:w="108" w:type="dxa"/>
            <w:bottom w:w="0" w:type="dxa"/>
            <w:right w:w="108" w:type="dxa"/>
          </w:tblCellMar>
        </w:tblPrEx>
        <w:trPr>
          <w:trHeight w:val="663" w:hRule="atLeast"/>
        </w:trPr>
        <w:tc>
          <w:tcPr>
            <w:tcW w:w="5000" w:type="pct"/>
            <w:gridSpan w:val="6"/>
            <w:tcBorders>
              <w:top w:val="nil"/>
              <w:left w:val="nil"/>
              <w:bottom w:val="nil"/>
              <w:right w:val="nil"/>
            </w:tcBorders>
            <w:shd w:val="clear" w:color="auto" w:fill="auto"/>
            <w:noWrap/>
            <w:vAlign w:val="center"/>
          </w:tcPr>
          <w:p>
            <w:pPr>
              <w:widowControl/>
              <w:ind w:firstLine="0" w:firstLineChars="0"/>
              <w:textAlignment w:val="center"/>
              <w:rPr>
                <w:rFonts w:ascii="方正小标宋简体" w:hAnsi="方正小标宋简体" w:eastAsia="方正小标宋简体" w:cs="方正小标宋简体"/>
                <w:color w:val="000000"/>
                <w:sz w:val="18"/>
                <w:szCs w:val="18"/>
              </w:rPr>
            </w:pPr>
            <w:r>
              <w:rPr>
                <w:rFonts w:hint="eastAsia" w:ascii="方正小标宋简体" w:hAnsi="方正小标宋简体" w:eastAsia="方正小标宋简体" w:cs="方正小标宋简体"/>
                <w:color w:val="000000"/>
                <w:kern w:val="0"/>
                <w:sz w:val="18"/>
                <w:szCs w:val="18"/>
                <w:lang w:bidi="ar"/>
              </w:rPr>
              <w:t>附件：                           安宁发展投资集团有限公司</w:t>
            </w:r>
            <w:r>
              <w:rPr>
                <w:rFonts w:hint="eastAsia" w:ascii="方正小标宋简体" w:hAnsi="方正小标宋简体" w:eastAsia="方正小标宋简体" w:cs="方正小标宋简体"/>
                <w:sz w:val="18"/>
                <w:szCs w:val="18"/>
              </w:rPr>
              <w:t>2023年第四批人员</w:t>
            </w:r>
            <w:r>
              <w:rPr>
                <w:rFonts w:hint="eastAsia" w:ascii="方正小标宋简体" w:hAnsi="方正小标宋简体" w:eastAsia="方正小标宋简体" w:cs="方正小标宋简体"/>
                <w:color w:val="000000"/>
                <w:kern w:val="0"/>
                <w:sz w:val="18"/>
                <w:szCs w:val="18"/>
                <w:lang w:bidi="ar"/>
              </w:rPr>
              <w:t>招聘岗位汇总表</w:t>
            </w:r>
          </w:p>
        </w:tc>
      </w:tr>
      <w:tr>
        <w:tblPrEx>
          <w:tblCellMar>
            <w:top w:w="0" w:type="dxa"/>
            <w:left w:w="108" w:type="dxa"/>
            <w:bottom w:w="0" w:type="dxa"/>
            <w:right w:w="108" w:type="dxa"/>
          </w:tblCellMar>
        </w:tblPrEx>
        <w:trPr>
          <w:trHeight w:val="90" w:hRule="atLeast"/>
        </w:trPr>
        <w:tc>
          <w:tcPr>
            <w:tcW w:w="4792" w:type="pct"/>
            <w:gridSpan w:val="5"/>
            <w:tcBorders>
              <w:top w:val="nil"/>
              <w:left w:val="nil"/>
              <w:bottom w:val="nil"/>
              <w:right w:val="nil"/>
            </w:tcBorders>
            <w:shd w:val="clear" w:color="auto" w:fill="auto"/>
            <w:noWrap/>
            <w:vAlign w:val="center"/>
          </w:tcPr>
          <w:p>
            <w:pPr>
              <w:ind w:firstLine="0" w:firstLineChars="0"/>
              <w:rPr>
                <w:rFonts w:ascii="方正小标宋简体" w:hAnsi="方正小标宋简体" w:eastAsia="方正小标宋简体" w:cs="方正小标宋简体"/>
                <w:color w:val="000000"/>
                <w:sz w:val="18"/>
                <w:szCs w:val="18"/>
              </w:rPr>
            </w:pPr>
          </w:p>
        </w:tc>
        <w:tc>
          <w:tcPr>
            <w:tcW w:w="207" w:type="pct"/>
            <w:tcBorders>
              <w:top w:val="nil"/>
              <w:left w:val="nil"/>
              <w:bottom w:val="nil"/>
              <w:right w:val="nil"/>
            </w:tcBorders>
            <w:shd w:val="clear" w:color="auto" w:fill="auto"/>
            <w:noWrap/>
            <w:vAlign w:val="center"/>
          </w:tcPr>
          <w:p>
            <w:pPr>
              <w:ind w:firstLine="420"/>
              <w:jc w:val="center"/>
              <w:rPr>
                <w:rFonts w:ascii="方正小标宋简体" w:hAnsi="方正小标宋简体" w:eastAsia="方正小标宋简体" w:cs="方正小标宋简体"/>
                <w:color w:val="000000"/>
                <w:sz w:val="18"/>
                <w:szCs w:val="18"/>
              </w:rPr>
            </w:pPr>
          </w:p>
        </w:tc>
      </w:tr>
      <w:tr>
        <w:tblPrEx>
          <w:tblCellMar>
            <w:top w:w="0" w:type="dxa"/>
            <w:left w:w="108" w:type="dxa"/>
            <w:bottom w:w="0" w:type="dxa"/>
            <w:right w:w="108" w:type="dxa"/>
          </w:tblCellMar>
        </w:tblPrEx>
        <w:trPr>
          <w:trHeight w:val="365" w:hRule="atLeast"/>
        </w:trPr>
        <w:tc>
          <w:tcPr>
            <w:tcW w:w="38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仿宋_GB2312" w:hAnsi="仿宋_GB2312" w:eastAsia="仿宋_GB2312" w:cs="仿宋_GB2312"/>
                <w:b/>
                <w:bCs/>
                <w:color w:val="000000"/>
                <w:sz w:val="18"/>
                <w:szCs w:val="18"/>
              </w:rPr>
            </w:pPr>
            <w:r>
              <w:rPr>
                <w:rFonts w:hint="eastAsia" w:ascii="仿宋_GB2312" w:hAnsi="仿宋_GB2312" w:eastAsia="仿宋_GB2312" w:cs="仿宋_GB2312"/>
                <w:b/>
                <w:bCs/>
                <w:color w:val="000000"/>
                <w:kern w:val="0"/>
                <w:sz w:val="18"/>
                <w:szCs w:val="18"/>
                <w:lang w:bidi="ar"/>
              </w:rPr>
              <w:t>序号</w:t>
            </w:r>
          </w:p>
        </w:tc>
        <w:tc>
          <w:tcPr>
            <w:tcW w:w="996"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181" w:firstLineChars="100"/>
              <w:textAlignment w:val="center"/>
              <w:rPr>
                <w:rFonts w:ascii="仿宋_GB2312" w:hAnsi="仿宋_GB2312" w:eastAsia="仿宋_GB2312" w:cs="仿宋_GB2312"/>
                <w:b/>
                <w:bCs/>
                <w:color w:val="000000"/>
                <w:sz w:val="18"/>
                <w:szCs w:val="18"/>
              </w:rPr>
            </w:pPr>
            <w:r>
              <w:rPr>
                <w:rFonts w:hint="eastAsia" w:ascii="仿宋_GB2312" w:hAnsi="仿宋_GB2312" w:eastAsia="仿宋_GB2312" w:cs="仿宋_GB2312"/>
                <w:b/>
                <w:bCs/>
                <w:color w:val="000000"/>
                <w:sz w:val="18"/>
                <w:szCs w:val="18"/>
              </w:rPr>
              <w:t>公司名称</w:t>
            </w:r>
          </w:p>
        </w:tc>
        <w:tc>
          <w:tcPr>
            <w:tcW w:w="25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textAlignment w:val="center"/>
              <w:rPr>
                <w:rFonts w:hint="default" w:ascii="仿宋_GB2312" w:hAnsi="仿宋_GB2312" w:eastAsia="仿宋_GB2312" w:cs="仿宋_GB2312"/>
                <w:b/>
                <w:bCs/>
                <w:color w:val="000000"/>
                <w:sz w:val="18"/>
                <w:szCs w:val="18"/>
                <w:lang w:val="en-US" w:eastAsia="zh-CN"/>
              </w:rPr>
            </w:pPr>
            <w:r>
              <w:rPr>
                <w:rFonts w:hint="eastAsia" w:ascii="仿宋_GB2312" w:hAnsi="仿宋_GB2312" w:eastAsia="仿宋_GB2312" w:cs="仿宋_GB2312"/>
                <w:b/>
                <w:bCs/>
                <w:color w:val="000000"/>
                <w:sz w:val="18"/>
                <w:szCs w:val="18"/>
                <w:lang w:val="en-US" w:eastAsia="zh-CN"/>
              </w:rPr>
              <w:t>招聘岗 位</w:t>
            </w:r>
          </w:p>
        </w:tc>
        <w:tc>
          <w:tcPr>
            <w:tcW w:w="315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301"/>
              <w:jc w:val="center"/>
              <w:textAlignment w:val="center"/>
              <w:rPr>
                <w:rFonts w:ascii="仿宋_GB2312" w:hAnsi="仿宋_GB2312" w:eastAsia="仿宋_GB2312" w:cs="仿宋_GB2312"/>
                <w:b/>
                <w:bCs/>
                <w:color w:val="000000"/>
                <w:sz w:val="18"/>
                <w:szCs w:val="18"/>
              </w:rPr>
            </w:pPr>
            <w:r>
              <w:rPr>
                <w:rFonts w:hint="eastAsia" w:ascii="仿宋_GB2312" w:hAnsi="仿宋_GB2312" w:eastAsia="仿宋_GB2312" w:cs="仿宋_GB2312"/>
                <w:b/>
                <w:bCs/>
                <w:color w:val="000000"/>
                <w:kern w:val="0"/>
                <w:sz w:val="18"/>
                <w:szCs w:val="18"/>
                <w:lang w:bidi="ar"/>
              </w:rPr>
              <w:t>招聘任职条件</w:t>
            </w:r>
          </w:p>
        </w:tc>
        <w:tc>
          <w:tcPr>
            <w:tcW w:w="20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left="0" w:leftChars="0" w:firstLine="0" w:firstLineChars="0"/>
              <w:textAlignment w:val="center"/>
              <w:rPr>
                <w:rFonts w:ascii="仿宋_GB2312" w:hAnsi="仿宋_GB2312" w:eastAsia="仿宋_GB2312" w:cs="仿宋_GB2312"/>
                <w:b/>
                <w:bCs/>
                <w:color w:val="000000"/>
                <w:sz w:val="18"/>
                <w:szCs w:val="18"/>
              </w:rPr>
            </w:pPr>
            <w:r>
              <w:rPr>
                <w:rFonts w:hint="eastAsia" w:ascii="仿宋_GB2312" w:hAnsi="仿宋_GB2312" w:eastAsia="仿宋_GB2312" w:cs="仿宋_GB2312"/>
                <w:b/>
                <w:bCs/>
                <w:color w:val="000000"/>
                <w:kern w:val="0"/>
                <w:sz w:val="18"/>
                <w:szCs w:val="18"/>
                <w:lang w:bidi="ar"/>
              </w:rPr>
              <w:t>薪酬</w:t>
            </w:r>
          </w:p>
        </w:tc>
      </w:tr>
      <w:tr>
        <w:tblPrEx>
          <w:tblCellMar>
            <w:top w:w="0" w:type="dxa"/>
            <w:left w:w="108" w:type="dxa"/>
            <w:bottom w:w="0" w:type="dxa"/>
            <w:right w:w="108" w:type="dxa"/>
          </w:tblCellMar>
        </w:tblPrEx>
        <w:trPr>
          <w:trHeight w:val="355" w:hRule="atLeast"/>
        </w:trPr>
        <w:tc>
          <w:tcPr>
            <w:tcW w:w="3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482"/>
              <w:jc w:val="center"/>
              <w:rPr>
                <w:rFonts w:ascii="宋体" w:hAnsi="宋体" w:eastAsia="宋体" w:cs="宋体"/>
                <w:b/>
                <w:bCs/>
                <w:color w:val="000000"/>
                <w:sz w:val="18"/>
                <w:szCs w:val="18"/>
              </w:rPr>
            </w:pPr>
          </w:p>
        </w:tc>
        <w:tc>
          <w:tcPr>
            <w:tcW w:w="99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482"/>
              <w:jc w:val="center"/>
              <w:rPr>
                <w:rFonts w:ascii="宋体" w:hAnsi="宋体" w:eastAsia="宋体" w:cs="宋体"/>
                <w:b/>
                <w:bCs/>
                <w:color w:val="000000"/>
                <w:sz w:val="18"/>
                <w:szCs w:val="18"/>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82"/>
              <w:jc w:val="center"/>
              <w:rPr>
                <w:rFonts w:ascii="宋体" w:hAnsi="宋体" w:eastAsia="宋体" w:cs="宋体"/>
                <w:b/>
                <w:bCs/>
                <w:color w:val="000000"/>
                <w:sz w:val="18"/>
                <w:szCs w:val="18"/>
              </w:rPr>
            </w:pPr>
          </w:p>
        </w:tc>
        <w:tc>
          <w:tcPr>
            <w:tcW w:w="7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261"/>
              <w:jc w:val="center"/>
              <w:textAlignment w:val="center"/>
              <w:rPr>
                <w:rFonts w:ascii="仿宋_GB2312" w:hAnsi="仿宋_GB2312" w:eastAsia="仿宋_GB2312" w:cs="仿宋_GB2312"/>
                <w:b/>
                <w:bCs/>
                <w:color w:val="000000"/>
                <w:sz w:val="18"/>
                <w:szCs w:val="18"/>
              </w:rPr>
            </w:pPr>
            <w:r>
              <w:rPr>
                <w:rFonts w:hint="eastAsia" w:ascii="仿宋_GB2312" w:hAnsi="仿宋_GB2312" w:eastAsia="仿宋_GB2312" w:cs="仿宋_GB2312"/>
                <w:b/>
                <w:bCs/>
                <w:color w:val="000000"/>
                <w:kern w:val="0"/>
                <w:sz w:val="18"/>
                <w:szCs w:val="18"/>
                <w:lang w:bidi="ar"/>
              </w:rPr>
              <w:t>岗位职责</w:t>
            </w:r>
          </w:p>
        </w:tc>
        <w:tc>
          <w:tcPr>
            <w:tcW w:w="24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261"/>
              <w:jc w:val="center"/>
              <w:textAlignment w:val="center"/>
              <w:rPr>
                <w:rFonts w:ascii="仿宋_GB2312" w:hAnsi="仿宋_GB2312" w:eastAsia="仿宋_GB2312" w:cs="仿宋_GB2312"/>
                <w:b/>
                <w:bCs/>
                <w:color w:val="000000"/>
                <w:sz w:val="18"/>
                <w:szCs w:val="18"/>
              </w:rPr>
            </w:pPr>
            <w:r>
              <w:rPr>
                <w:rFonts w:hint="eastAsia" w:ascii="仿宋_GB2312" w:hAnsi="仿宋_GB2312" w:eastAsia="仿宋_GB2312" w:cs="仿宋_GB2312"/>
                <w:b/>
                <w:bCs/>
                <w:color w:val="000000"/>
                <w:kern w:val="0"/>
                <w:sz w:val="18"/>
                <w:szCs w:val="18"/>
                <w:lang w:bidi="ar"/>
              </w:rPr>
              <w:t>任职资格</w:t>
            </w:r>
          </w:p>
        </w:tc>
        <w:tc>
          <w:tcPr>
            <w:tcW w:w="2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442"/>
              <w:jc w:val="center"/>
              <w:rPr>
                <w:rFonts w:ascii="宋体" w:hAnsi="宋体" w:eastAsia="宋体" w:cs="宋体"/>
                <w:b/>
                <w:bCs/>
                <w:color w:val="000000"/>
                <w:sz w:val="18"/>
                <w:szCs w:val="18"/>
              </w:rPr>
            </w:pPr>
          </w:p>
        </w:tc>
      </w:tr>
      <w:tr>
        <w:tblPrEx>
          <w:tblCellMar>
            <w:top w:w="0" w:type="dxa"/>
            <w:left w:w="108" w:type="dxa"/>
            <w:bottom w:w="0" w:type="dxa"/>
            <w:right w:w="108" w:type="dxa"/>
          </w:tblCellMar>
        </w:tblPrEx>
        <w:tc>
          <w:tcPr>
            <w:tcW w:w="389"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200" w:lineRule="exact"/>
              <w:ind w:firstLine="180" w:firstLineChars="100"/>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 xml:space="preserve">    1</w:t>
            </w:r>
          </w:p>
        </w:tc>
        <w:tc>
          <w:tcPr>
            <w:tcW w:w="996"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200" w:lineRule="exact"/>
              <w:ind w:firstLine="0" w:firstLineChars="0"/>
              <w:jc w:val="center"/>
              <w:rPr>
                <w:rFonts w:ascii="仿宋_GB2312" w:hAnsi="仿宋_GB2312" w:eastAsia="仿宋_GB2312" w:cs="仿宋_GB2312"/>
                <w:sz w:val="18"/>
                <w:szCs w:val="18"/>
                <w:shd w:val="clear" w:color="auto" w:fill="FFFFFF"/>
              </w:rPr>
            </w:pPr>
            <w:r>
              <w:rPr>
                <w:rFonts w:hint="eastAsia" w:ascii="仿宋_GB2312" w:hAnsi="仿宋_GB2312" w:eastAsia="仿宋_GB2312" w:cs="仿宋_GB2312"/>
                <w:sz w:val="18"/>
                <w:szCs w:val="18"/>
                <w:shd w:val="clear" w:color="auto" w:fill="FFFFFF"/>
              </w:rPr>
              <w:t>安宁居佳城市运营</w:t>
            </w:r>
          </w:p>
          <w:p>
            <w:pPr>
              <w:widowControl/>
              <w:spacing w:line="200" w:lineRule="exact"/>
              <w:ind w:firstLine="0" w:firstLineChars="0"/>
              <w:jc w:val="center"/>
              <w:rPr>
                <w:rFonts w:ascii="仿宋_GB2312" w:hAnsi="仿宋_GB2312" w:eastAsia="仿宋_GB2312" w:cs="仿宋_GB2312"/>
                <w:sz w:val="18"/>
                <w:szCs w:val="18"/>
                <w:shd w:val="clear" w:color="auto" w:fill="FFFFFF"/>
              </w:rPr>
            </w:pPr>
            <w:r>
              <w:rPr>
                <w:rFonts w:hint="eastAsia" w:ascii="仿宋_GB2312" w:hAnsi="仿宋_GB2312" w:eastAsia="仿宋_GB2312" w:cs="仿宋_GB2312"/>
                <w:sz w:val="18"/>
                <w:szCs w:val="18"/>
                <w:shd w:val="clear" w:color="auto" w:fill="FFFFFF"/>
              </w:rPr>
              <w:t>服务有限公司</w:t>
            </w:r>
          </w:p>
        </w:tc>
        <w:tc>
          <w:tcPr>
            <w:tcW w:w="251"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200" w:lineRule="exact"/>
              <w:ind w:left="0" w:leftChars="0" w:firstLine="0" w:firstLineChars="0"/>
              <w:rPr>
                <w:rFonts w:ascii="仿宋_GB2312" w:hAnsi="仿宋_GB2312" w:eastAsia="仿宋_GB2312" w:cs="仿宋_GB2312"/>
                <w:sz w:val="18"/>
                <w:szCs w:val="18"/>
                <w:shd w:val="clear" w:color="auto" w:fill="FFFFFF"/>
              </w:rPr>
            </w:pPr>
            <w:r>
              <w:rPr>
                <w:rFonts w:hint="eastAsia" w:ascii="仿宋_GB2312" w:hAnsi="仿宋_GB2312" w:eastAsia="仿宋_GB2312" w:cs="仿宋_GB2312"/>
                <w:sz w:val="18"/>
                <w:szCs w:val="18"/>
                <w:shd w:val="clear" w:color="auto" w:fill="FFFFFF"/>
              </w:rPr>
              <w:t>副总</w:t>
            </w:r>
          </w:p>
          <w:p>
            <w:pPr>
              <w:widowControl/>
              <w:spacing w:line="200" w:lineRule="exact"/>
              <w:ind w:left="0" w:leftChars="0" w:firstLine="0" w:firstLineChars="0"/>
              <w:rPr>
                <w:rFonts w:ascii="仿宋_GB2312" w:hAnsi="仿宋_GB2312" w:eastAsia="仿宋_GB2312" w:cs="仿宋_GB2312"/>
                <w:sz w:val="18"/>
                <w:szCs w:val="18"/>
                <w:shd w:val="clear" w:color="auto" w:fill="FFFFFF"/>
              </w:rPr>
            </w:pPr>
            <w:r>
              <w:rPr>
                <w:rFonts w:hint="eastAsia" w:ascii="仿宋_GB2312" w:hAnsi="仿宋_GB2312" w:eastAsia="仿宋_GB2312" w:cs="仿宋_GB2312"/>
                <w:sz w:val="18"/>
                <w:szCs w:val="18"/>
                <w:shd w:val="clear" w:color="auto" w:fill="FFFFFF"/>
              </w:rPr>
              <w:t>经理</w:t>
            </w:r>
          </w:p>
        </w:tc>
        <w:tc>
          <w:tcPr>
            <w:tcW w:w="74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0" w:leftChars="0" w:firstLine="0" w:firstLineChars="0"/>
              <w:rPr>
                <w:rFonts w:hint="eastAsia" w:ascii="仿宋_GB2312" w:hAnsi="仿宋_GB2312" w:eastAsia="仿宋_GB2312" w:cs="仿宋_GB2312"/>
                <w:b w:val="0"/>
                <w:bCs w:val="0"/>
                <w:sz w:val="18"/>
                <w:szCs w:val="18"/>
                <w:shd w:val="clear" w:color="auto" w:fill="FFFFFF"/>
              </w:rPr>
            </w:pPr>
            <w:r>
              <w:rPr>
                <w:rFonts w:hint="eastAsia" w:ascii="仿宋_GB2312" w:hAnsi="仿宋_GB2312" w:eastAsia="仿宋_GB2312" w:cs="仿宋_GB2312"/>
                <w:b w:val="0"/>
                <w:bCs w:val="0"/>
                <w:sz w:val="18"/>
                <w:szCs w:val="18"/>
                <w:shd w:val="clear" w:color="auto" w:fill="FFFFFF"/>
                <w:lang w:val="en-US" w:eastAsia="zh-CN"/>
              </w:rPr>
              <w:t>1.负责对安宁市城市服务类业务的拓展与日常经营管理</w:t>
            </w:r>
            <w:r>
              <w:rPr>
                <w:rFonts w:hint="eastAsia" w:ascii="仿宋_GB2312" w:hAnsi="仿宋_GB2312" w:eastAsia="仿宋_GB2312" w:cs="仿宋_GB2312"/>
                <w:b w:val="0"/>
                <w:bCs w:val="0"/>
                <w:sz w:val="18"/>
                <w:szCs w:val="18"/>
                <w:shd w:val="clear" w:color="auto" w:fill="FFFFFF"/>
              </w:rPr>
              <w:t>；</w:t>
            </w:r>
          </w:p>
          <w:p>
            <w:pPr>
              <w:keepNext w:val="0"/>
              <w:keepLines w:val="0"/>
              <w:pageBreakBefore w:val="0"/>
              <w:widowControl/>
              <w:kinsoku/>
              <w:wordWrap/>
              <w:overflowPunct/>
              <w:topLinePunct w:val="0"/>
              <w:autoSpaceDE/>
              <w:autoSpaceDN/>
              <w:bidi w:val="0"/>
              <w:adjustRightInd/>
              <w:snapToGrid/>
              <w:spacing w:line="200" w:lineRule="exact"/>
              <w:ind w:left="0" w:leftChars="0" w:firstLine="0" w:firstLineChars="0"/>
              <w:rPr>
                <w:rFonts w:hint="eastAsia" w:ascii="仿宋_GB2312" w:hAnsi="仿宋_GB2312" w:eastAsia="仿宋_GB2312" w:cs="仿宋_GB2312"/>
                <w:b w:val="0"/>
                <w:bCs w:val="0"/>
                <w:sz w:val="18"/>
                <w:szCs w:val="18"/>
                <w:shd w:val="clear" w:color="auto" w:fill="FFFFFF"/>
                <w:lang w:val="en-US" w:eastAsia="zh-CN"/>
              </w:rPr>
            </w:pPr>
            <w:r>
              <w:rPr>
                <w:rFonts w:hint="eastAsia" w:ascii="仿宋_GB2312" w:hAnsi="仿宋_GB2312" w:eastAsia="仿宋_GB2312" w:cs="仿宋_GB2312"/>
                <w:b w:val="0"/>
                <w:bCs w:val="0"/>
                <w:sz w:val="18"/>
                <w:szCs w:val="18"/>
                <w:shd w:val="clear" w:color="auto" w:fill="FFFFFF"/>
              </w:rPr>
              <w:t>2.</w:t>
            </w:r>
            <w:r>
              <w:rPr>
                <w:rFonts w:hint="eastAsia" w:ascii="仿宋_GB2312" w:hAnsi="仿宋_GB2312" w:eastAsia="仿宋_GB2312" w:cs="仿宋_GB2312"/>
                <w:b w:val="0"/>
                <w:bCs w:val="0"/>
                <w:sz w:val="18"/>
                <w:szCs w:val="18"/>
                <w:shd w:val="clear" w:color="auto" w:fill="FFFFFF"/>
                <w:lang w:val="en-US" w:eastAsia="zh-CN"/>
              </w:rPr>
              <w:t>通过各种渠道收集城市服务项目信息，负责进行现场勘踏，周边市场调研；</w:t>
            </w:r>
          </w:p>
          <w:p>
            <w:pPr>
              <w:keepNext w:val="0"/>
              <w:keepLines w:val="0"/>
              <w:pageBreakBefore w:val="0"/>
              <w:widowControl/>
              <w:kinsoku/>
              <w:wordWrap/>
              <w:overflowPunct/>
              <w:topLinePunct w:val="0"/>
              <w:autoSpaceDE/>
              <w:autoSpaceDN/>
              <w:bidi w:val="0"/>
              <w:adjustRightInd/>
              <w:snapToGrid/>
              <w:spacing w:line="200" w:lineRule="exact"/>
              <w:ind w:left="0" w:leftChars="0" w:firstLine="0" w:firstLineChars="0"/>
              <w:rPr>
                <w:rFonts w:hint="eastAsia" w:ascii="仿宋_GB2312" w:hAnsi="仿宋_GB2312" w:eastAsia="仿宋_GB2312" w:cs="仿宋_GB2312"/>
                <w:b w:val="0"/>
                <w:bCs w:val="0"/>
                <w:sz w:val="18"/>
                <w:szCs w:val="18"/>
                <w:shd w:val="clear" w:color="auto" w:fill="FFFFFF"/>
                <w:lang w:val="en-US" w:eastAsia="zh-CN"/>
              </w:rPr>
            </w:pPr>
            <w:r>
              <w:rPr>
                <w:rFonts w:hint="eastAsia" w:ascii="仿宋_GB2312" w:hAnsi="仿宋_GB2312" w:eastAsia="仿宋_GB2312" w:cs="仿宋_GB2312"/>
                <w:b w:val="0"/>
                <w:bCs w:val="0"/>
                <w:sz w:val="18"/>
                <w:szCs w:val="18"/>
                <w:shd w:val="clear" w:color="auto" w:fill="FFFFFF"/>
                <w:lang w:val="en-US" w:eastAsia="zh-CN"/>
              </w:rPr>
              <w:t>3.</w:t>
            </w:r>
            <w:r>
              <w:rPr>
                <w:rFonts w:hint="eastAsia" w:ascii="仿宋_GB2312" w:hAnsi="仿宋_GB2312" w:eastAsia="仿宋_GB2312" w:cs="仿宋_GB2312"/>
                <w:b w:val="0"/>
                <w:bCs w:val="0"/>
                <w:sz w:val="18"/>
                <w:szCs w:val="18"/>
                <w:shd w:val="clear" w:color="auto" w:fill="FFFFFF"/>
              </w:rPr>
              <w:t>负责</w:t>
            </w:r>
            <w:r>
              <w:rPr>
                <w:rFonts w:hint="eastAsia" w:ascii="仿宋_GB2312" w:hAnsi="仿宋_GB2312" w:eastAsia="仿宋_GB2312" w:cs="仿宋_GB2312"/>
                <w:b w:val="0"/>
                <w:bCs w:val="0"/>
                <w:sz w:val="18"/>
                <w:szCs w:val="18"/>
                <w:shd w:val="clear" w:color="auto" w:fill="FFFFFF"/>
                <w:lang w:val="en-US" w:eastAsia="zh-CN"/>
              </w:rPr>
              <w:t>项目前期定位及运营模式的制定工作</w:t>
            </w:r>
            <w:r>
              <w:rPr>
                <w:rFonts w:hint="eastAsia" w:ascii="仿宋_GB2312" w:hAnsi="仿宋_GB2312" w:eastAsia="仿宋_GB2312" w:cs="仿宋_GB2312"/>
                <w:b w:val="0"/>
                <w:bCs w:val="0"/>
                <w:sz w:val="18"/>
                <w:szCs w:val="18"/>
                <w:shd w:val="clear" w:color="auto" w:fill="FFFFFF"/>
                <w:lang w:eastAsia="zh-CN"/>
              </w:rPr>
              <w:t>，</w:t>
            </w:r>
            <w:r>
              <w:rPr>
                <w:rFonts w:hint="eastAsia" w:ascii="仿宋_GB2312" w:hAnsi="仿宋_GB2312" w:eastAsia="仿宋_GB2312" w:cs="仿宋_GB2312"/>
                <w:b w:val="0"/>
                <w:bCs w:val="0"/>
                <w:sz w:val="18"/>
                <w:szCs w:val="18"/>
                <w:shd w:val="clear" w:color="auto" w:fill="FFFFFF"/>
                <w:lang w:val="en-US" w:eastAsia="zh-CN"/>
              </w:rPr>
              <w:t>参与、推进项目谈判及协议签订，促成项目的转化落地；</w:t>
            </w:r>
          </w:p>
          <w:p>
            <w:pPr>
              <w:keepNext w:val="0"/>
              <w:keepLines w:val="0"/>
              <w:pageBreakBefore w:val="0"/>
              <w:widowControl/>
              <w:kinsoku/>
              <w:wordWrap/>
              <w:overflowPunct/>
              <w:topLinePunct w:val="0"/>
              <w:autoSpaceDE/>
              <w:autoSpaceDN/>
              <w:bidi w:val="0"/>
              <w:adjustRightInd/>
              <w:snapToGrid/>
              <w:spacing w:line="200" w:lineRule="exact"/>
              <w:ind w:left="0" w:leftChars="0" w:firstLine="0" w:firstLineChars="0"/>
              <w:rPr>
                <w:rFonts w:hint="eastAsia" w:ascii="仿宋_GB2312" w:hAnsi="仿宋_GB2312" w:eastAsia="仿宋_GB2312" w:cs="仿宋_GB2312"/>
                <w:b w:val="0"/>
                <w:bCs w:val="0"/>
                <w:sz w:val="18"/>
                <w:szCs w:val="18"/>
                <w:shd w:val="clear" w:color="auto" w:fill="FFFFFF"/>
                <w:lang w:val="en-US" w:eastAsia="zh-CN"/>
              </w:rPr>
            </w:pPr>
            <w:r>
              <w:rPr>
                <w:rFonts w:hint="eastAsia" w:ascii="仿宋_GB2312" w:hAnsi="仿宋_GB2312" w:eastAsia="仿宋_GB2312" w:cs="仿宋_GB2312"/>
                <w:b w:val="0"/>
                <w:bCs w:val="0"/>
                <w:sz w:val="18"/>
                <w:szCs w:val="18"/>
                <w:shd w:val="clear" w:color="auto" w:fill="FFFFFF"/>
                <w:lang w:val="en-US" w:eastAsia="zh-CN"/>
              </w:rPr>
              <w:t>4.对拟投资项目进行分析、研究投资测算和评估，编制投资可行性报告、利润测算等材料供公司决策；</w:t>
            </w:r>
          </w:p>
          <w:p>
            <w:pPr>
              <w:keepNext w:val="0"/>
              <w:keepLines w:val="0"/>
              <w:pageBreakBefore w:val="0"/>
              <w:widowControl/>
              <w:kinsoku/>
              <w:wordWrap/>
              <w:overflowPunct/>
              <w:topLinePunct w:val="0"/>
              <w:autoSpaceDE/>
              <w:autoSpaceDN/>
              <w:bidi w:val="0"/>
              <w:adjustRightInd/>
              <w:snapToGrid/>
              <w:spacing w:line="200" w:lineRule="exact"/>
              <w:ind w:left="0" w:leftChars="0" w:firstLine="0" w:firstLineChars="0"/>
              <w:rPr>
                <w:rFonts w:hint="eastAsia" w:ascii="仿宋_GB2312" w:hAnsi="仿宋_GB2312" w:eastAsia="仿宋_GB2312" w:cs="仿宋_GB2312"/>
                <w:b w:val="0"/>
                <w:bCs w:val="0"/>
                <w:sz w:val="18"/>
                <w:szCs w:val="18"/>
                <w:shd w:val="clear" w:color="auto" w:fill="FFFFFF"/>
              </w:rPr>
            </w:pPr>
            <w:r>
              <w:rPr>
                <w:rFonts w:hint="eastAsia" w:ascii="仿宋_GB2312" w:hAnsi="仿宋_GB2312" w:eastAsia="仿宋_GB2312" w:cs="仿宋_GB2312"/>
                <w:b w:val="0"/>
                <w:bCs w:val="0"/>
                <w:sz w:val="18"/>
                <w:szCs w:val="18"/>
                <w:shd w:val="clear" w:color="auto" w:fill="FFFFFF"/>
                <w:lang w:val="en-US" w:eastAsia="zh-CN"/>
              </w:rPr>
              <w:t>5.</w:t>
            </w:r>
            <w:r>
              <w:rPr>
                <w:rFonts w:hint="eastAsia" w:ascii="仿宋_GB2312" w:hAnsi="仿宋_GB2312" w:eastAsia="仿宋_GB2312" w:cs="仿宋_GB2312"/>
                <w:b w:val="0"/>
                <w:bCs w:val="0"/>
                <w:sz w:val="18"/>
                <w:szCs w:val="18"/>
                <w:shd w:val="clear" w:color="auto" w:fill="FFFFFF"/>
              </w:rPr>
              <w:t>建立规范、高效的运营管理体系及工作流程建立和发展优秀的队伍；</w:t>
            </w:r>
          </w:p>
          <w:p>
            <w:pPr>
              <w:keepNext w:val="0"/>
              <w:keepLines w:val="0"/>
              <w:pageBreakBefore w:val="0"/>
              <w:widowControl/>
              <w:kinsoku/>
              <w:wordWrap/>
              <w:overflowPunct/>
              <w:topLinePunct w:val="0"/>
              <w:autoSpaceDE/>
              <w:autoSpaceDN/>
              <w:bidi w:val="0"/>
              <w:adjustRightInd/>
              <w:snapToGrid/>
              <w:spacing w:line="200" w:lineRule="exact"/>
              <w:ind w:left="0" w:leftChars="0" w:firstLine="0" w:firstLineChars="0"/>
              <w:rPr>
                <w:rFonts w:hint="eastAsia" w:ascii="仿宋_GB2312" w:hAnsi="仿宋_GB2312" w:eastAsia="仿宋_GB2312" w:cs="仿宋_GB2312"/>
                <w:b w:val="0"/>
                <w:bCs w:val="0"/>
                <w:sz w:val="18"/>
                <w:szCs w:val="18"/>
                <w:shd w:val="clear" w:color="auto" w:fill="FFFFFF"/>
              </w:rPr>
            </w:pPr>
            <w:r>
              <w:rPr>
                <w:rFonts w:hint="eastAsia" w:ascii="仿宋_GB2312" w:hAnsi="仿宋_GB2312" w:eastAsia="仿宋_GB2312" w:cs="仿宋_GB2312"/>
                <w:b w:val="0"/>
                <w:bCs w:val="0"/>
                <w:sz w:val="18"/>
                <w:szCs w:val="18"/>
                <w:shd w:val="clear" w:color="auto" w:fill="FFFFFF"/>
                <w:lang w:val="en-US" w:eastAsia="zh-CN"/>
              </w:rPr>
              <w:t>6.</w:t>
            </w:r>
            <w:r>
              <w:rPr>
                <w:rFonts w:hint="eastAsia" w:ascii="仿宋_GB2312" w:hAnsi="仿宋_GB2312" w:eastAsia="仿宋_GB2312" w:cs="仿宋_GB2312"/>
                <w:b w:val="0"/>
                <w:bCs w:val="0"/>
                <w:sz w:val="18"/>
                <w:szCs w:val="18"/>
                <w:shd w:val="clear" w:color="auto" w:fill="FFFFFF"/>
              </w:rPr>
              <w:t>参与公司高层决策，统筹公司运营指标、年度发展计划，推动并确保营业指标的顺利完成；</w:t>
            </w:r>
          </w:p>
          <w:p>
            <w:pPr>
              <w:widowControl/>
              <w:spacing w:line="200" w:lineRule="exact"/>
              <w:ind w:left="0" w:leftChars="0" w:firstLine="0" w:firstLineChars="0"/>
              <w:jc w:val="left"/>
              <w:rPr>
                <w:rFonts w:ascii="仿宋_GB2312" w:hAnsi="仿宋_GB2312" w:eastAsia="仿宋_GB2312" w:cs="仿宋_GB2312"/>
                <w:sz w:val="18"/>
                <w:szCs w:val="18"/>
                <w:shd w:val="clear" w:color="auto" w:fill="FFFFFF"/>
              </w:rPr>
            </w:pPr>
            <w:r>
              <w:rPr>
                <w:rFonts w:hint="eastAsia" w:ascii="仿宋_GB2312" w:hAnsi="仿宋_GB2312" w:eastAsia="仿宋_GB2312" w:cs="仿宋_GB2312"/>
                <w:b w:val="0"/>
                <w:bCs w:val="0"/>
                <w:sz w:val="18"/>
                <w:szCs w:val="18"/>
                <w:shd w:val="clear" w:color="auto" w:fill="FFFFFF"/>
                <w:lang w:val="en-US" w:eastAsia="zh-CN"/>
              </w:rPr>
              <w:t>7</w:t>
            </w:r>
            <w:r>
              <w:rPr>
                <w:rFonts w:hint="eastAsia" w:ascii="仿宋_GB2312" w:hAnsi="仿宋_GB2312" w:eastAsia="仿宋_GB2312" w:cs="仿宋_GB2312"/>
                <w:b w:val="0"/>
                <w:bCs w:val="0"/>
                <w:sz w:val="18"/>
                <w:szCs w:val="18"/>
                <w:shd w:val="clear" w:color="auto" w:fill="FFFFFF"/>
              </w:rPr>
              <w:t>.参与当地政府关系的协调、对接，建立常态化的工作机制，保持良好沟通。</w:t>
            </w:r>
          </w:p>
        </w:tc>
        <w:tc>
          <w:tcPr>
            <w:tcW w:w="2406"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0" w:leftChars="0" w:firstLine="0" w:firstLineChars="0"/>
              <w:rPr>
                <w:rFonts w:hint="eastAsia" w:ascii="仿宋_GB2312" w:hAnsi="仿宋_GB2312" w:eastAsia="仿宋_GB2312" w:cs="仿宋_GB2312"/>
                <w:b w:val="0"/>
                <w:bCs w:val="0"/>
                <w:sz w:val="18"/>
                <w:szCs w:val="18"/>
                <w:shd w:val="clear" w:color="auto" w:fill="FFFFFF"/>
              </w:rPr>
            </w:pPr>
            <w:r>
              <w:rPr>
                <w:rFonts w:hint="eastAsia" w:ascii="仿宋_GB2312" w:hAnsi="仿宋_GB2312" w:eastAsia="仿宋_GB2312" w:cs="仿宋_GB2312"/>
                <w:b w:val="0"/>
                <w:bCs w:val="0"/>
                <w:sz w:val="18"/>
                <w:szCs w:val="18"/>
                <w:shd w:val="clear" w:color="auto" w:fill="FFFFFF"/>
              </w:rPr>
              <w:t>1.年龄：40周岁以下</w:t>
            </w:r>
            <w:r>
              <w:rPr>
                <w:rFonts w:hint="eastAsia" w:ascii="仿宋_GB2312" w:hAnsi="仿宋_GB2312" w:eastAsia="仿宋_GB2312" w:cs="仿宋_GB2312"/>
                <w:b w:val="0"/>
                <w:bCs w:val="0"/>
                <w:sz w:val="18"/>
                <w:szCs w:val="18"/>
                <w:shd w:val="clear" w:color="auto" w:fill="FFFFFF"/>
                <w:lang w:eastAsia="zh-CN"/>
              </w:rPr>
              <w:t>（含</w:t>
            </w:r>
            <w:r>
              <w:rPr>
                <w:rFonts w:hint="eastAsia" w:ascii="仿宋_GB2312" w:hAnsi="仿宋_GB2312" w:eastAsia="仿宋_GB2312" w:cs="仿宋_GB2312"/>
                <w:b w:val="0"/>
                <w:bCs w:val="0"/>
                <w:sz w:val="18"/>
                <w:szCs w:val="18"/>
                <w:shd w:val="clear" w:color="auto" w:fill="FFFFFF"/>
                <w:lang w:val="en-US" w:eastAsia="zh-CN"/>
              </w:rPr>
              <w:t>40岁</w:t>
            </w:r>
            <w:r>
              <w:rPr>
                <w:rFonts w:hint="eastAsia" w:ascii="仿宋_GB2312" w:hAnsi="仿宋_GB2312" w:eastAsia="仿宋_GB2312" w:cs="仿宋_GB2312"/>
                <w:b w:val="0"/>
                <w:bCs w:val="0"/>
                <w:sz w:val="18"/>
                <w:szCs w:val="18"/>
                <w:shd w:val="clear" w:color="auto" w:fill="FFFFFF"/>
                <w:lang w:eastAsia="zh-CN"/>
              </w:rPr>
              <w:t>）</w:t>
            </w:r>
            <w:r>
              <w:rPr>
                <w:rFonts w:hint="eastAsia" w:ascii="仿宋_GB2312" w:hAnsi="仿宋_GB2312" w:eastAsia="仿宋_GB2312" w:cs="仿宋_GB2312"/>
                <w:b w:val="0"/>
                <w:bCs w:val="0"/>
                <w:sz w:val="18"/>
                <w:szCs w:val="18"/>
                <w:shd w:val="clear" w:color="auto" w:fill="FFFFFF"/>
              </w:rPr>
              <w:t>；</w:t>
            </w:r>
          </w:p>
          <w:p>
            <w:pPr>
              <w:keepNext w:val="0"/>
              <w:keepLines w:val="0"/>
              <w:pageBreakBefore w:val="0"/>
              <w:widowControl/>
              <w:kinsoku/>
              <w:wordWrap/>
              <w:overflowPunct/>
              <w:topLinePunct w:val="0"/>
              <w:autoSpaceDE/>
              <w:autoSpaceDN/>
              <w:bidi w:val="0"/>
              <w:adjustRightInd/>
              <w:snapToGrid/>
              <w:spacing w:line="200" w:lineRule="exact"/>
              <w:ind w:left="0" w:leftChars="0" w:firstLine="0" w:firstLineChars="0"/>
              <w:rPr>
                <w:rFonts w:hint="eastAsia" w:ascii="仿宋_GB2312" w:hAnsi="仿宋_GB2312" w:eastAsia="仿宋_GB2312" w:cs="仿宋_GB2312"/>
                <w:b w:val="0"/>
                <w:bCs w:val="0"/>
                <w:sz w:val="18"/>
                <w:szCs w:val="18"/>
                <w:shd w:val="clear" w:color="auto" w:fill="FFFFFF"/>
              </w:rPr>
            </w:pPr>
            <w:r>
              <w:rPr>
                <w:rFonts w:hint="eastAsia" w:ascii="仿宋_GB2312" w:hAnsi="仿宋_GB2312" w:eastAsia="仿宋_GB2312" w:cs="仿宋_GB2312"/>
                <w:b w:val="0"/>
                <w:bCs w:val="0"/>
                <w:sz w:val="18"/>
                <w:szCs w:val="18"/>
                <w:shd w:val="clear" w:color="auto" w:fill="FFFFFF"/>
              </w:rPr>
              <w:t>2.性别：不限；</w:t>
            </w:r>
          </w:p>
          <w:p>
            <w:pPr>
              <w:keepNext w:val="0"/>
              <w:keepLines w:val="0"/>
              <w:pageBreakBefore w:val="0"/>
              <w:widowControl/>
              <w:kinsoku/>
              <w:wordWrap/>
              <w:overflowPunct/>
              <w:topLinePunct w:val="0"/>
              <w:autoSpaceDE/>
              <w:autoSpaceDN/>
              <w:bidi w:val="0"/>
              <w:adjustRightInd/>
              <w:snapToGrid/>
              <w:spacing w:line="200" w:lineRule="exact"/>
              <w:ind w:left="0" w:leftChars="0" w:firstLine="0" w:firstLineChars="0"/>
              <w:rPr>
                <w:rFonts w:hint="eastAsia" w:ascii="仿宋_GB2312" w:hAnsi="仿宋_GB2312" w:eastAsia="仿宋_GB2312" w:cs="仿宋_GB2312"/>
                <w:b w:val="0"/>
                <w:bCs w:val="0"/>
                <w:sz w:val="18"/>
                <w:szCs w:val="18"/>
                <w:shd w:val="clear" w:color="auto" w:fill="FFFFFF"/>
              </w:rPr>
            </w:pPr>
            <w:r>
              <w:rPr>
                <w:rFonts w:hint="eastAsia" w:ascii="仿宋_GB2312" w:hAnsi="仿宋_GB2312" w:eastAsia="仿宋_GB2312" w:cs="仿宋_GB2312"/>
                <w:b w:val="0"/>
                <w:bCs w:val="0"/>
                <w:sz w:val="18"/>
                <w:szCs w:val="18"/>
                <w:shd w:val="clear" w:color="auto" w:fill="FFFFFF"/>
              </w:rPr>
              <w:t>3.学历及专业：</w:t>
            </w:r>
            <w:r>
              <w:rPr>
                <w:rFonts w:hint="eastAsia" w:ascii="仿宋_GB2312" w:hAnsi="仿宋_GB2312" w:eastAsia="仿宋_GB2312" w:cs="仿宋_GB2312"/>
                <w:b w:val="0"/>
                <w:bCs w:val="0"/>
                <w:sz w:val="18"/>
                <w:szCs w:val="18"/>
                <w:shd w:val="clear" w:color="auto" w:fill="FFFFFF"/>
                <w:lang w:eastAsia="zh-CN"/>
              </w:rPr>
              <w:t>本科</w:t>
            </w:r>
            <w:r>
              <w:rPr>
                <w:rFonts w:hint="eastAsia" w:ascii="仿宋_GB2312" w:hAnsi="仿宋_GB2312" w:eastAsia="仿宋_GB2312" w:cs="仿宋_GB2312"/>
                <w:b w:val="0"/>
                <w:bCs w:val="0"/>
                <w:sz w:val="18"/>
                <w:szCs w:val="18"/>
                <w:shd w:val="clear" w:color="auto" w:fill="FFFFFF"/>
              </w:rPr>
              <w:t>及以上学历，</w:t>
            </w:r>
            <w:r>
              <w:rPr>
                <w:rFonts w:hint="eastAsia" w:ascii="仿宋_GB2312" w:hAnsi="仿宋_GB2312" w:eastAsia="仿宋_GB2312" w:cs="仿宋_GB2312"/>
                <w:b w:val="0"/>
                <w:bCs w:val="0"/>
                <w:sz w:val="18"/>
                <w:szCs w:val="18"/>
                <w:shd w:val="clear" w:color="auto" w:fill="FFFFFF"/>
                <w:lang w:val="en-US" w:eastAsia="zh-CN"/>
              </w:rPr>
              <w:t>经济、市场营销、商业运营管理、企业管理等管理类相关专业</w:t>
            </w:r>
            <w:r>
              <w:rPr>
                <w:rFonts w:hint="eastAsia" w:ascii="仿宋_GB2312" w:hAnsi="仿宋_GB2312" w:eastAsia="仿宋_GB2312" w:cs="仿宋_GB2312"/>
                <w:b w:val="0"/>
                <w:bCs w:val="0"/>
                <w:sz w:val="18"/>
                <w:szCs w:val="18"/>
                <w:shd w:val="clear" w:color="auto" w:fill="FFFFFF"/>
              </w:rPr>
              <w:t>；硕士研究生以上者优先考虑；</w:t>
            </w:r>
          </w:p>
          <w:p>
            <w:pPr>
              <w:keepNext w:val="0"/>
              <w:keepLines w:val="0"/>
              <w:pageBreakBefore w:val="0"/>
              <w:widowControl/>
              <w:kinsoku/>
              <w:wordWrap/>
              <w:overflowPunct/>
              <w:topLinePunct w:val="0"/>
              <w:autoSpaceDE/>
              <w:autoSpaceDN/>
              <w:bidi w:val="0"/>
              <w:adjustRightInd/>
              <w:snapToGrid/>
              <w:spacing w:line="200" w:lineRule="exact"/>
              <w:ind w:left="0" w:leftChars="0" w:firstLine="0" w:firstLineChars="0"/>
              <w:rPr>
                <w:rFonts w:hint="eastAsia" w:ascii="仿宋_GB2312" w:hAnsi="仿宋_GB2312" w:eastAsia="仿宋_GB2312" w:cs="仿宋_GB2312"/>
                <w:b w:val="0"/>
                <w:bCs w:val="0"/>
                <w:sz w:val="18"/>
                <w:szCs w:val="18"/>
                <w:shd w:val="clear" w:color="auto" w:fill="FFFFFF"/>
              </w:rPr>
            </w:pPr>
            <w:r>
              <w:rPr>
                <w:rFonts w:hint="eastAsia" w:ascii="仿宋_GB2312" w:hAnsi="仿宋_GB2312" w:eastAsia="仿宋_GB2312" w:cs="仿宋_GB2312"/>
                <w:b w:val="0"/>
                <w:bCs w:val="0"/>
                <w:sz w:val="18"/>
                <w:szCs w:val="18"/>
                <w:shd w:val="clear" w:color="auto" w:fill="FFFFFF"/>
              </w:rPr>
              <w:t>4.对城市运营服务行业有较强的理解和知识储备，有2年以上的运营工作经验</w:t>
            </w:r>
            <w:r>
              <w:rPr>
                <w:rFonts w:hint="eastAsia" w:ascii="仿宋_GB2312" w:hAnsi="仿宋_GB2312" w:eastAsia="仿宋_GB2312" w:cs="仿宋_GB2312"/>
                <w:b w:val="0"/>
                <w:bCs w:val="0"/>
                <w:sz w:val="18"/>
                <w:szCs w:val="18"/>
                <w:shd w:val="clear" w:color="auto" w:fill="FFFFFF"/>
                <w:lang w:eastAsia="zh-CN"/>
              </w:rPr>
              <w:t>，</w:t>
            </w:r>
            <w:r>
              <w:rPr>
                <w:rFonts w:hint="eastAsia" w:ascii="仿宋_GB2312" w:hAnsi="仿宋_GB2312" w:eastAsia="仿宋_GB2312" w:cs="仿宋_GB2312"/>
                <w:b w:val="0"/>
                <w:bCs w:val="0"/>
                <w:sz w:val="18"/>
                <w:szCs w:val="18"/>
                <w:shd w:val="clear" w:color="auto" w:fill="FFFFFF"/>
                <w:lang w:val="en-US" w:eastAsia="zh-CN"/>
              </w:rPr>
              <w:t>熟悉当地城市服务政策流程和项目开发流程</w:t>
            </w:r>
            <w:r>
              <w:rPr>
                <w:rFonts w:hint="eastAsia" w:ascii="仿宋_GB2312" w:hAnsi="仿宋_GB2312" w:eastAsia="仿宋_GB2312" w:cs="仿宋_GB2312"/>
                <w:b w:val="0"/>
                <w:bCs w:val="0"/>
                <w:sz w:val="18"/>
                <w:szCs w:val="18"/>
                <w:shd w:val="clear" w:color="auto" w:fill="FFFFFF"/>
              </w:rPr>
              <w:t>；</w:t>
            </w:r>
          </w:p>
          <w:p>
            <w:pPr>
              <w:keepNext w:val="0"/>
              <w:keepLines w:val="0"/>
              <w:pageBreakBefore w:val="0"/>
              <w:widowControl/>
              <w:kinsoku/>
              <w:wordWrap/>
              <w:overflowPunct/>
              <w:topLinePunct w:val="0"/>
              <w:autoSpaceDE/>
              <w:autoSpaceDN/>
              <w:bidi w:val="0"/>
              <w:adjustRightInd/>
              <w:snapToGrid/>
              <w:spacing w:line="200" w:lineRule="exact"/>
              <w:ind w:left="0" w:leftChars="0" w:firstLine="0" w:firstLineChars="0"/>
              <w:rPr>
                <w:rFonts w:hint="eastAsia" w:ascii="仿宋_GB2312" w:hAnsi="仿宋_GB2312" w:eastAsia="仿宋_GB2312" w:cs="仿宋_GB2312"/>
                <w:b w:val="0"/>
                <w:bCs w:val="0"/>
                <w:sz w:val="18"/>
                <w:szCs w:val="18"/>
                <w:shd w:val="clear" w:color="auto" w:fill="FFFFFF"/>
              </w:rPr>
            </w:pPr>
            <w:r>
              <w:rPr>
                <w:rFonts w:hint="eastAsia" w:ascii="仿宋_GB2312" w:hAnsi="仿宋_GB2312" w:eastAsia="仿宋_GB2312" w:cs="仿宋_GB2312"/>
                <w:b w:val="0"/>
                <w:bCs w:val="0"/>
                <w:sz w:val="18"/>
                <w:szCs w:val="18"/>
                <w:shd w:val="clear" w:color="auto" w:fill="FFFFFF"/>
              </w:rPr>
              <w:t>5.有智慧城市、数字城市或行业信息化建设项目相关工作经历，了解业界智慧城市建设政策、解决方案组成及规划；</w:t>
            </w:r>
          </w:p>
          <w:p>
            <w:pPr>
              <w:keepNext w:val="0"/>
              <w:keepLines w:val="0"/>
              <w:pageBreakBefore w:val="0"/>
              <w:widowControl/>
              <w:kinsoku/>
              <w:wordWrap/>
              <w:overflowPunct/>
              <w:topLinePunct w:val="0"/>
              <w:autoSpaceDE/>
              <w:autoSpaceDN/>
              <w:bidi w:val="0"/>
              <w:adjustRightInd/>
              <w:snapToGrid/>
              <w:spacing w:line="200" w:lineRule="exact"/>
              <w:ind w:left="0" w:leftChars="0" w:firstLine="0" w:firstLineChars="0"/>
              <w:rPr>
                <w:rFonts w:hint="eastAsia" w:ascii="仿宋_GB2312" w:hAnsi="仿宋_GB2312" w:eastAsia="仿宋_GB2312" w:cs="仿宋_GB2312"/>
                <w:b w:val="0"/>
                <w:bCs w:val="0"/>
                <w:sz w:val="18"/>
                <w:szCs w:val="18"/>
                <w:shd w:val="clear" w:color="auto" w:fill="FFFFFF"/>
              </w:rPr>
            </w:pPr>
            <w:r>
              <w:rPr>
                <w:rFonts w:hint="eastAsia" w:ascii="仿宋_GB2312" w:hAnsi="仿宋_GB2312" w:eastAsia="仿宋_GB2312" w:cs="仿宋_GB2312"/>
                <w:b w:val="0"/>
                <w:bCs w:val="0"/>
                <w:sz w:val="18"/>
                <w:szCs w:val="18"/>
                <w:shd w:val="clear" w:color="auto" w:fill="FFFFFF"/>
              </w:rPr>
              <w:t>6.曾负责过（如智慧民生、智能交通、数字城管、平安城市、应急指挥等）之一的重大项目建设及运营的人员优先考虑；</w:t>
            </w:r>
          </w:p>
          <w:p>
            <w:pPr>
              <w:keepNext w:val="0"/>
              <w:keepLines w:val="0"/>
              <w:pageBreakBefore w:val="0"/>
              <w:widowControl/>
              <w:kinsoku/>
              <w:wordWrap/>
              <w:overflowPunct/>
              <w:topLinePunct w:val="0"/>
              <w:autoSpaceDE/>
              <w:autoSpaceDN/>
              <w:bidi w:val="0"/>
              <w:adjustRightInd/>
              <w:snapToGrid/>
              <w:spacing w:line="200" w:lineRule="exact"/>
              <w:ind w:left="0" w:leftChars="0" w:firstLine="0" w:firstLineChars="0"/>
              <w:rPr>
                <w:rFonts w:hint="eastAsia" w:ascii="仿宋_GB2312" w:hAnsi="仿宋_GB2312" w:eastAsia="仿宋_GB2312" w:cs="仿宋_GB2312"/>
                <w:b w:val="0"/>
                <w:bCs w:val="0"/>
                <w:sz w:val="18"/>
                <w:szCs w:val="18"/>
                <w:shd w:val="clear" w:color="auto" w:fill="FFFFFF"/>
                <w:lang w:val="en-US" w:eastAsia="zh-CN"/>
              </w:rPr>
            </w:pPr>
            <w:r>
              <w:rPr>
                <w:rFonts w:hint="eastAsia" w:ascii="仿宋_GB2312" w:hAnsi="仿宋_GB2312" w:eastAsia="仿宋_GB2312" w:cs="仿宋_GB2312"/>
                <w:b w:val="0"/>
                <w:bCs w:val="0"/>
                <w:sz w:val="18"/>
                <w:szCs w:val="18"/>
                <w:shd w:val="clear" w:color="auto" w:fill="FFFFFF"/>
              </w:rPr>
              <w:t>7.</w:t>
            </w:r>
            <w:r>
              <w:rPr>
                <w:rFonts w:hint="eastAsia" w:ascii="仿宋_GB2312" w:hAnsi="仿宋_GB2312" w:eastAsia="仿宋_GB2312" w:cs="仿宋_GB2312"/>
                <w:b w:val="0"/>
                <w:bCs w:val="0"/>
                <w:sz w:val="18"/>
                <w:szCs w:val="18"/>
                <w:shd w:val="clear" w:color="auto" w:fill="FFFFFF"/>
                <w:lang w:val="en-US" w:eastAsia="zh-CN"/>
              </w:rPr>
              <w:t>较强的计划、组织、领导、协调、控制和督导能力，</w:t>
            </w:r>
            <w:r>
              <w:rPr>
                <w:rFonts w:hint="eastAsia" w:ascii="仿宋_GB2312" w:hAnsi="仿宋_GB2312" w:eastAsia="仿宋_GB2312" w:cs="仿宋_GB2312"/>
                <w:b w:val="0"/>
                <w:bCs w:val="0"/>
                <w:sz w:val="18"/>
                <w:szCs w:val="18"/>
                <w:shd w:val="clear" w:color="auto" w:fill="FFFFFF"/>
              </w:rPr>
              <w:t>思路清晰，做事严谨，执行力强，</w:t>
            </w:r>
            <w:r>
              <w:rPr>
                <w:rFonts w:hint="eastAsia" w:ascii="仿宋_GB2312" w:hAnsi="仿宋_GB2312" w:eastAsia="仿宋_GB2312" w:cs="仿宋_GB2312"/>
                <w:b w:val="0"/>
                <w:bCs w:val="0"/>
                <w:sz w:val="18"/>
                <w:szCs w:val="18"/>
                <w:shd w:val="clear" w:color="auto" w:fill="FFFFFF"/>
                <w:lang w:val="en-US" w:eastAsia="zh-CN"/>
              </w:rPr>
              <w:t>具备全面统筹城市服务工作的能力；</w:t>
            </w:r>
          </w:p>
          <w:p>
            <w:pPr>
              <w:keepNext w:val="0"/>
              <w:keepLines w:val="0"/>
              <w:pageBreakBefore w:val="0"/>
              <w:widowControl/>
              <w:kinsoku/>
              <w:wordWrap/>
              <w:overflowPunct/>
              <w:topLinePunct w:val="0"/>
              <w:autoSpaceDE/>
              <w:autoSpaceDN/>
              <w:bidi w:val="0"/>
              <w:adjustRightInd/>
              <w:snapToGrid/>
              <w:spacing w:line="200" w:lineRule="exact"/>
              <w:ind w:left="0" w:leftChars="0" w:firstLine="0" w:firstLineChars="0"/>
              <w:rPr>
                <w:rFonts w:hint="eastAsia" w:ascii="仿宋_GB2312" w:hAnsi="仿宋_GB2312" w:eastAsia="仿宋_GB2312" w:cs="仿宋_GB2312"/>
                <w:b w:val="0"/>
                <w:bCs w:val="0"/>
                <w:sz w:val="18"/>
                <w:szCs w:val="18"/>
                <w:shd w:val="clear" w:color="auto" w:fill="FFFFFF"/>
                <w:lang w:val="en-US" w:eastAsia="zh-CN"/>
              </w:rPr>
            </w:pPr>
            <w:r>
              <w:rPr>
                <w:rFonts w:hint="eastAsia" w:ascii="仿宋_GB2312" w:hAnsi="仿宋_GB2312" w:eastAsia="仿宋_GB2312" w:cs="仿宋_GB2312"/>
                <w:b w:val="0"/>
                <w:bCs w:val="0"/>
                <w:sz w:val="18"/>
                <w:szCs w:val="18"/>
                <w:shd w:val="clear" w:color="auto" w:fill="FFFFFF"/>
                <w:lang w:val="en-US" w:eastAsia="zh-CN"/>
              </w:rPr>
              <w:t>8.有较强的责任心、职业素养、良好的管理理念、服务意识、应急处理能力；</w:t>
            </w:r>
          </w:p>
          <w:p>
            <w:pPr>
              <w:keepNext w:val="0"/>
              <w:keepLines w:val="0"/>
              <w:pageBreakBefore w:val="0"/>
              <w:widowControl/>
              <w:kinsoku/>
              <w:wordWrap/>
              <w:overflowPunct/>
              <w:topLinePunct w:val="0"/>
              <w:autoSpaceDE/>
              <w:autoSpaceDN/>
              <w:bidi w:val="0"/>
              <w:adjustRightInd/>
              <w:snapToGrid/>
              <w:spacing w:line="200" w:lineRule="exact"/>
              <w:ind w:left="0" w:leftChars="0" w:firstLine="0" w:firstLineChars="0"/>
              <w:rPr>
                <w:rFonts w:hint="eastAsia" w:ascii="仿宋_GB2312" w:hAnsi="仿宋_GB2312" w:eastAsia="仿宋_GB2312" w:cs="仿宋_GB2312"/>
                <w:b w:val="0"/>
                <w:bCs w:val="0"/>
                <w:sz w:val="18"/>
                <w:szCs w:val="18"/>
                <w:shd w:val="clear" w:color="auto" w:fill="FFFFFF"/>
                <w:lang w:eastAsia="zh-CN"/>
              </w:rPr>
            </w:pPr>
            <w:r>
              <w:rPr>
                <w:rFonts w:hint="eastAsia" w:ascii="仿宋_GB2312" w:hAnsi="仿宋_GB2312" w:eastAsia="仿宋_GB2312" w:cs="仿宋_GB2312"/>
                <w:b w:val="0"/>
                <w:bCs w:val="0"/>
                <w:sz w:val="18"/>
                <w:szCs w:val="18"/>
                <w:shd w:val="clear" w:color="auto" w:fill="FFFFFF"/>
                <w:lang w:val="en-US" w:eastAsia="zh-CN"/>
              </w:rPr>
              <w:t>9.</w:t>
            </w:r>
            <w:r>
              <w:rPr>
                <w:rFonts w:hint="eastAsia" w:ascii="仿宋_GB2312" w:hAnsi="仿宋_GB2312" w:eastAsia="仿宋_GB2312" w:cs="仿宋_GB2312"/>
                <w:b w:val="0"/>
                <w:bCs w:val="0"/>
                <w:sz w:val="18"/>
                <w:szCs w:val="18"/>
                <w:shd w:val="clear" w:color="auto" w:fill="FFFFFF"/>
              </w:rPr>
              <w:t>对市场有敏锐的洞察力、分析力，优秀的项目组织能力和市场开拓能力，具备优秀的人事管理和沟通能力、商务谈判能力</w:t>
            </w:r>
            <w:r>
              <w:rPr>
                <w:rFonts w:hint="eastAsia" w:ascii="仿宋_GB2312" w:hAnsi="仿宋_GB2312" w:eastAsia="仿宋_GB2312" w:cs="仿宋_GB2312"/>
                <w:b w:val="0"/>
                <w:bCs w:val="0"/>
                <w:sz w:val="18"/>
                <w:szCs w:val="18"/>
                <w:shd w:val="clear" w:color="auto" w:fill="FFFFFF"/>
                <w:lang w:eastAsia="zh-CN"/>
              </w:rPr>
              <w:t>；</w:t>
            </w:r>
          </w:p>
          <w:p>
            <w:pPr>
              <w:keepNext w:val="0"/>
              <w:keepLines w:val="0"/>
              <w:pageBreakBefore w:val="0"/>
              <w:widowControl/>
              <w:kinsoku/>
              <w:wordWrap/>
              <w:overflowPunct/>
              <w:topLinePunct w:val="0"/>
              <w:autoSpaceDE/>
              <w:autoSpaceDN/>
              <w:bidi w:val="0"/>
              <w:adjustRightInd/>
              <w:snapToGrid/>
              <w:spacing w:line="200" w:lineRule="exact"/>
              <w:ind w:left="0" w:leftChars="0" w:firstLine="0" w:firstLineChars="0"/>
              <w:rPr>
                <w:rFonts w:hint="eastAsia" w:ascii="仿宋_GB2312" w:hAnsi="仿宋_GB2312" w:eastAsia="仿宋_GB2312" w:cs="仿宋_GB2312"/>
                <w:b w:val="0"/>
                <w:bCs w:val="0"/>
                <w:sz w:val="18"/>
                <w:szCs w:val="18"/>
                <w:shd w:val="clear" w:color="auto" w:fill="FFFFFF"/>
                <w:lang w:val="en-US" w:eastAsia="zh-CN"/>
              </w:rPr>
            </w:pPr>
            <w:r>
              <w:rPr>
                <w:rFonts w:hint="eastAsia" w:ascii="仿宋_GB2312" w:hAnsi="仿宋_GB2312" w:eastAsia="仿宋_GB2312" w:cs="仿宋_GB2312"/>
                <w:b w:val="0"/>
                <w:bCs w:val="0"/>
                <w:sz w:val="18"/>
                <w:szCs w:val="18"/>
                <w:shd w:val="clear" w:color="auto" w:fill="FFFFFF"/>
                <w:lang w:val="en-US" w:eastAsia="zh-CN"/>
              </w:rPr>
              <w:t>10.</w:t>
            </w:r>
            <w:r>
              <w:rPr>
                <w:rFonts w:hint="eastAsia" w:ascii="仿宋_GB2312" w:hAnsi="仿宋_GB2312" w:eastAsia="仿宋_GB2312" w:cs="仿宋_GB2312"/>
                <w:b w:val="0"/>
                <w:bCs w:val="0"/>
                <w:sz w:val="18"/>
                <w:szCs w:val="18"/>
                <w:shd w:val="clear" w:color="auto" w:fill="FFFFFF"/>
              </w:rPr>
              <w:t>适应国企工作制度及工作方式，理解国企价值观</w:t>
            </w:r>
            <w:r>
              <w:rPr>
                <w:rFonts w:hint="eastAsia" w:ascii="仿宋_GB2312" w:hAnsi="仿宋_GB2312" w:eastAsia="仿宋_GB2312" w:cs="仿宋_GB2312"/>
                <w:b w:val="0"/>
                <w:bCs w:val="0"/>
                <w:sz w:val="18"/>
                <w:szCs w:val="18"/>
                <w:shd w:val="clear" w:color="auto" w:fill="FFFFFF"/>
                <w:lang w:eastAsia="zh-CN"/>
              </w:rPr>
              <w:t>；</w:t>
            </w:r>
          </w:p>
          <w:p>
            <w:pPr>
              <w:keepNext w:val="0"/>
              <w:keepLines w:val="0"/>
              <w:pageBreakBefore w:val="0"/>
              <w:widowControl/>
              <w:kinsoku/>
              <w:wordWrap/>
              <w:overflowPunct/>
              <w:topLinePunct w:val="0"/>
              <w:autoSpaceDE/>
              <w:autoSpaceDN/>
              <w:bidi w:val="0"/>
              <w:adjustRightInd/>
              <w:snapToGrid/>
              <w:spacing w:line="200" w:lineRule="exact"/>
              <w:ind w:left="0" w:leftChars="0" w:firstLine="0" w:firstLineChars="0"/>
              <w:rPr>
                <w:rFonts w:hint="eastAsia" w:ascii="仿宋_GB2312" w:hAnsi="仿宋_GB2312" w:eastAsia="仿宋_GB2312" w:cs="仿宋_GB2312"/>
                <w:b w:val="0"/>
                <w:bCs w:val="0"/>
                <w:sz w:val="18"/>
                <w:szCs w:val="18"/>
                <w:shd w:val="clear" w:color="auto" w:fill="FFFFFF"/>
                <w:lang w:val="en-US" w:eastAsia="zh-CN"/>
              </w:rPr>
            </w:pPr>
            <w:r>
              <w:rPr>
                <w:rFonts w:hint="eastAsia" w:ascii="仿宋_GB2312" w:hAnsi="仿宋_GB2312" w:eastAsia="仿宋_GB2312" w:cs="仿宋_GB2312"/>
                <w:b w:val="0"/>
                <w:bCs w:val="0"/>
                <w:sz w:val="18"/>
                <w:szCs w:val="18"/>
                <w:shd w:val="clear" w:color="auto" w:fill="FFFFFF"/>
                <w:lang w:val="en-US" w:eastAsia="zh-CN"/>
              </w:rPr>
              <w:t>11.未受到过严重警告及以上党纪处分、行政记大过及以上政纪处分和刑事处罚，个人信用记录良好；</w:t>
            </w:r>
          </w:p>
          <w:p>
            <w:pPr>
              <w:widowControl/>
              <w:spacing w:line="200" w:lineRule="exact"/>
              <w:ind w:left="0" w:leftChars="0" w:firstLine="0" w:firstLineChars="0"/>
              <w:rPr>
                <w:sz w:val="18"/>
                <w:szCs w:val="18"/>
              </w:rPr>
            </w:pPr>
            <w:r>
              <w:rPr>
                <w:rFonts w:hint="eastAsia" w:ascii="仿宋_GB2312" w:hAnsi="仿宋_GB2312" w:eastAsia="仿宋_GB2312" w:cs="仿宋_GB2312"/>
                <w:b w:val="0"/>
                <w:bCs w:val="0"/>
                <w:sz w:val="18"/>
                <w:szCs w:val="18"/>
                <w:shd w:val="clear" w:color="auto" w:fill="FFFFFF"/>
                <w:lang w:val="en-US" w:eastAsia="zh-CN"/>
              </w:rPr>
              <w:t>12.符合任职回避等有关规定。</w:t>
            </w:r>
          </w:p>
        </w:tc>
        <w:tc>
          <w:tcPr>
            <w:tcW w:w="2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00" w:lineRule="exact"/>
              <w:ind w:left="0" w:leftChars="0" w:firstLine="0" w:firstLineChars="0"/>
              <w:rPr>
                <w:rFonts w:ascii="仿宋_GB2312" w:hAnsi="仿宋_GB2312" w:eastAsia="仿宋_GB2312" w:cs="仿宋_GB2312"/>
                <w:sz w:val="18"/>
                <w:szCs w:val="18"/>
                <w:shd w:val="clear" w:color="auto" w:fill="FFFFFF"/>
              </w:rPr>
            </w:pPr>
            <w:r>
              <w:rPr>
                <w:rFonts w:hint="eastAsia" w:ascii="仿宋_GB2312" w:hAnsi="仿宋_GB2312" w:eastAsia="仿宋_GB2312" w:cs="仿宋_GB2312"/>
                <w:sz w:val="18"/>
                <w:szCs w:val="18"/>
                <w:shd w:val="clear" w:color="auto" w:fill="FFFFFF"/>
              </w:rPr>
              <w:t>20万</w:t>
            </w:r>
          </w:p>
        </w:tc>
      </w:tr>
      <w:tr>
        <w:tblPrEx>
          <w:tblCellMar>
            <w:top w:w="0" w:type="dxa"/>
            <w:left w:w="108" w:type="dxa"/>
            <w:bottom w:w="0" w:type="dxa"/>
            <w:right w:w="108" w:type="dxa"/>
          </w:tblCellMar>
        </w:tblPrEx>
        <w:trPr>
          <w:trHeight w:val="1473" w:hRule="atLeast"/>
        </w:trPr>
        <w:tc>
          <w:tcPr>
            <w:tcW w:w="389"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200" w:lineRule="exact"/>
              <w:ind w:firstLine="540" w:firstLineChars="300"/>
              <w:textAlignment w:val="center"/>
              <w:rPr>
                <w:rFonts w:ascii="仿宋_GB2312" w:hAnsi="仿宋_GB2312" w:eastAsia="仿宋_GB2312" w:cs="仿宋_GB2312"/>
                <w:color w:val="000000"/>
                <w:kern w:val="0"/>
                <w:sz w:val="18"/>
                <w:szCs w:val="18"/>
                <w:lang w:bidi="ar"/>
              </w:rPr>
            </w:pPr>
            <w:r>
              <w:rPr>
                <w:rFonts w:hint="eastAsia" w:ascii="仿宋_GB2312" w:hAnsi="仿宋_GB2312" w:eastAsia="仿宋_GB2312" w:cs="仿宋_GB2312"/>
                <w:color w:val="000000"/>
                <w:kern w:val="0"/>
                <w:sz w:val="18"/>
                <w:szCs w:val="18"/>
                <w:lang w:bidi="ar"/>
              </w:rPr>
              <w:t>22</w:t>
            </w:r>
          </w:p>
        </w:tc>
        <w:tc>
          <w:tcPr>
            <w:tcW w:w="996"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200" w:lineRule="exact"/>
              <w:ind w:firstLine="220"/>
              <w:jc w:val="center"/>
              <w:rPr>
                <w:rFonts w:ascii="仿宋_GB2312" w:hAnsi="仿宋_GB2312" w:eastAsia="仿宋_GB2312" w:cs="仿宋_GB2312"/>
                <w:sz w:val="18"/>
                <w:szCs w:val="18"/>
                <w:shd w:val="clear" w:color="auto" w:fill="FFFFFF"/>
              </w:rPr>
            </w:pPr>
            <w:r>
              <w:rPr>
                <w:rFonts w:hint="eastAsia" w:ascii="仿宋_GB2312" w:hAnsi="仿宋_GB2312" w:eastAsia="仿宋_GB2312" w:cs="仿宋_GB2312"/>
                <w:sz w:val="18"/>
                <w:szCs w:val="18"/>
                <w:shd w:val="clear" w:color="auto" w:fill="FFFFFF"/>
              </w:rPr>
              <w:t>昆明安发私募股权投资基金管理有限公司</w:t>
            </w:r>
          </w:p>
        </w:tc>
        <w:tc>
          <w:tcPr>
            <w:tcW w:w="251" w:type="pct"/>
            <w:tcBorders>
              <w:top w:val="nil"/>
              <w:left w:val="single" w:color="000000" w:sz="4" w:space="0"/>
              <w:bottom w:val="single" w:color="000000" w:sz="4" w:space="0"/>
              <w:right w:val="single" w:color="000000" w:sz="4" w:space="0"/>
            </w:tcBorders>
            <w:shd w:val="clear" w:color="auto" w:fill="auto"/>
            <w:noWrap/>
            <w:vAlign w:val="center"/>
          </w:tcPr>
          <w:p>
            <w:pPr>
              <w:pStyle w:val="6"/>
              <w:spacing w:beforeAutospacing="0" w:afterAutospacing="0" w:line="200" w:lineRule="exact"/>
              <w:ind w:left="0" w:leftChars="0" w:firstLine="0" w:firstLineChars="0"/>
              <w:jc w:val="both"/>
              <w:rPr>
                <w:rFonts w:ascii="仿宋_GB2312" w:hAnsi="仿宋_GB2312" w:eastAsia="仿宋_GB2312" w:cs="仿宋_GB2312"/>
                <w:sz w:val="18"/>
                <w:szCs w:val="18"/>
              </w:rPr>
            </w:pPr>
            <w:r>
              <w:rPr>
                <w:rFonts w:hint="eastAsia" w:ascii="仿宋_GB2312" w:hAnsi="仿宋_GB2312" w:eastAsia="仿宋_GB2312" w:cs="仿宋_GB2312"/>
                <w:sz w:val="18"/>
                <w:szCs w:val="18"/>
              </w:rPr>
              <w:t>投资</w:t>
            </w:r>
          </w:p>
          <w:p>
            <w:pPr>
              <w:pStyle w:val="6"/>
              <w:spacing w:beforeAutospacing="0" w:afterAutospacing="0" w:line="200" w:lineRule="exact"/>
              <w:ind w:left="0" w:leftChars="0" w:firstLine="0" w:firstLineChars="0"/>
              <w:jc w:val="both"/>
              <w:rPr>
                <w:rFonts w:ascii="仿宋_GB2312" w:hAnsi="仿宋_GB2312" w:eastAsia="仿宋_GB2312" w:cs="仿宋_GB2312"/>
                <w:sz w:val="18"/>
                <w:szCs w:val="18"/>
              </w:rPr>
            </w:pPr>
            <w:r>
              <w:rPr>
                <w:rFonts w:hint="eastAsia" w:ascii="仿宋_GB2312" w:hAnsi="仿宋_GB2312" w:eastAsia="仿宋_GB2312" w:cs="仿宋_GB2312"/>
                <w:sz w:val="18"/>
                <w:szCs w:val="18"/>
              </w:rPr>
              <w:t>总监</w:t>
            </w:r>
          </w:p>
        </w:tc>
        <w:tc>
          <w:tcPr>
            <w:tcW w:w="749" w:type="pct"/>
            <w:tcBorders>
              <w:top w:val="nil"/>
              <w:left w:val="single" w:color="000000" w:sz="4" w:space="0"/>
              <w:bottom w:val="single" w:color="000000" w:sz="4" w:space="0"/>
              <w:right w:val="single" w:color="000000" w:sz="4" w:space="0"/>
            </w:tcBorders>
            <w:shd w:val="clear" w:color="auto" w:fill="auto"/>
            <w:vAlign w:val="center"/>
          </w:tcPr>
          <w:p>
            <w:pPr>
              <w:widowControl/>
              <w:spacing w:line="200" w:lineRule="exact"/>
              <w:ind w:left="0" w:leftChars="0" w:firstLine="0" w:firstLineChars="0"/>
              <w:jc w:val="left"/>
              <w:rPr>
                <w:rFonts w:ascii="仿宋_GB2312" w:hAnsi="仿宋_GB2312" w:eastAsia="仿宋_GB2312" w:cs="仿宋_GB2312"/>
                <w:sz w:val="18"/>
                <w:szCs w:val="18"/>
                <w:shd w:val="clear" w:color="auto" w:fill="FFFFFF"/>
              </w:rPr>
            </w:pPr>
            <w:r>
              <w:rPr>
                <w:rFonts w:hint="eastAsia" w:ascii="仿宋_GB2312" w:hAnsi="仿宋_GB2312" w:eastAsia="仿宋_GB2312" w:cs="仿宋_GB2312"/>
                <w:sz w:val="18"/>
                <w:szCs w:val="18"/>
                <w:shd w:val="clear" w:color="auto" w:fill="FFFFFF"/>
              </w:rPr>
              <w:t>1.参与组织、制定公司的投资战略、年度投资计划和投资预算；</w:t>
            </w:r>
          </w:p>
          <w:p>
            <w:pPr>
              <w:widowControl/>
              <w:spacing w:line="200" w:lineRule="exact"/>
              <w:ind w:left="0" w:leftChars="0" w:firstLine="0" w:firstLineChars="0"/>
              <w:jc w:val="left"/>
              <w:rPr>
                <w:rFonts w:ascii="仿宋_GB2312" w:hAnsi="仿宋_GB2312" w:eastAsia="仿宋_GB2312" w:cs="仿宋_GB2312"/>
                <w:sz w:val="18"/>
                <w:szCs w:val="18"/>
                <w:shd w:val="clear" w:color="auto" w:fill="FFFFFF"/>
              </w:rPr>
            </w:pPr>
            <w:r>
              <w:rPr>
                <w:rFonts w:hint="eastAsia" w:ascii="仿宋_GB2312" w:hAnsi="仿宋_GB2312" w:eastAsia="仿宋_GB2312" w:cs="仿宋_GB2312"/>
                <w:sz w:val="18"/>
                <w:szCs w:val="18"/>
                <w:shd w:val="clear" w:color="auto" w:fill="FFFFFF"/>
              </w:rPr>
              <w:t>2.研究细分领域的产业政策、行业动态和发展趋势；</w:t>
            </w:r>
          </w:p>
          <w:p>
            <w:pPr>
              <w:widowControl/>
              <w:spacing w:line="200" w:lineRule="exact"/>
              <w:ind w:left="0" w:leftChars="0" w:firstLine="0" w:firstLineChars="0"/>
              <w:jc w:val="left"/>
              <w:rPr>
                <w:rFonts w:ascii="仿宋_GB2312" w:hAnsi="仿宋_GB2312" w:eastAsia="仿宋_GB2312" w:cs="仿宋_GB2312"/>
                <w:sz w:val="18"/>
                <w:szCs w:val="18"/>
                <w:shd w:val="clear" w:color="auto" w:fill="FFFFFF"/>
              </w:rPr>
            </w:pPr>
            <w:r>
              <w:rPr>
                <w:rFonts w:hint="eastAsia" w:ascii="仿宋_GB2312" w:hAnsi="仿宋_GB2312" w:eastAsia="仿宋_GB2312" w:cs="仿宋_GB2312"/>
                <w:sz w:val="18"/>
                <w:szCs w:val="18"/>
                <w:shd w:val="clear" w:color="auto" w:fill="FFFFFF"/>
              </w:rPr>
              <w:t>3.组织走访、调研企业，建立并完善项目库；</w:t>
            </w:r>
          </w:p>
          <w:p>
            <w:pPr>
              <w:widowControl/>
              <w:spacing w:line="200" w:lineRule="exact"/>
              <w:ind w:left="0" w:leftChars="0" w:firstLine="0" w:firstLineChars="0"/>
              <w:jc w:val="left"/>
              <w:rPr>
                <w:rFonts w:ascii="仿宋_GB2312" w:hAnsi="仿宋_GB2312" w:eastAsia="仿宋_GB2312" w:cs="仿宋_GB2312"/>
                <w:sz w:val="18"/>
                <w:szCs w:val="18"/>
                <w:shd w:val="clear" w:color="auto" w:fill="FFFFFF"/>
              </w:rPr>
            </w:pPr>
            <w:r>
              <w:rPr>
                <w:rFonts w:hint="eastAsia" w:ascii="仿宋_GB2312" w:hAnsi="仿宋_GB2312" w:eastAsia="仿宋_GB2312" w:cs="仿宋_GB2312"/>
                <w:sz w:val="18"/>
                <w:szCs w:val="18"/>
                <w:shd w:val="clear" w:color="auto" w:fill="FFFFFF"/>
              </w:rPr>
              <w:t>4.对拟投项目进行跟踪，组织前期考察调研工作并出具考察调研报告；</w:t>
            </w:r>
          </w:p>
          <w:p>
            <w:pPr>
              <w:widowControl/>
              <w:spacing w:line="200" w:lineRule="exact"/>
              <w:ind w:left="0" w:leftChars="0" w:firstLine="0" w:firstLineChars="0"/>
              <w:jc w:val="left"/>
              <w:rPr>
                <w:rFonts w:ascii="仿宋_GB2312" w:hAnsi="仿宋_GB2312" w:eastAsia="仿宋_GB2312" w:cs="仿宋_GB2312"/>
                <w:sz w:val="18"/>
                <w:szCs w:val="18"/>
                <w:shd w:val="clear" w:color="auto" w:fill="FFFFFF"/>
              </w:rPr>
            </w:pPr>
            <w:r>
              <w:rPr>
                <w:rFonts w:hint="eastAsia" w:ascii="仿宋_GB2312" w:hAnsi="仿宋_GB2312" w:eastAsia="仿宋_GB2312" w:cs="仿宋_GB2312"/>
                <w:sz w:val="18"/>
                <w:szCs w:val="18"/>
                <w:shd w:val="clear" w:color="auto" w:fill="FFFFFF"/>
              </w:rPr>
              <w:t>5.对已立项的项目组织尽职调查工作，出具投资建议书、可行性研究报告、尽职调查报告等；</w:t>
            </w:r>
          </w:p>
          <w:p>
            <w:pPr>
              <w:widowControl/>
              <w:spacing w:line="200" w:lineRule="exact"/>
              <w:ind w:left="0" w:leftChars="0" w:firstLine="0" w:firstLineChars="0"/>
              <w:jc w:val="left"/>
              <w:rPr>
                <w:rFonts w:ascii="仿宋_GB2312" w:hAnsi="仿宋_GB2312" w:eastAsia="仿宋_GB2312" w:cs="仿宋_GB2312"/>
                <w:sz w:val="18"/>
                <w:szCs w:val="18"/>
                <w:shd w:val="clear" w:color="auto" w:fill="FFFFFF"/>
              </w:rPr>
            </w:pPr>
            <w:r>
              <w:rPr>
                <w:rFonts w:hint="eastAsia" w:ascii="仿宋_GB2312" w:hAnsi="仿宋_GB2312" w:eastAsia="仿宋_GB2312" w:cs="仿宋_GB2312"/>
                <w:sz w:val="18"/>
                <w:szCs w:val="18"/>
                <w:shd w:val="clear" w:color="auto" w:fill="FFFFFF"/>
              </w:rPr>
              <w:t>6.组织投资项目的合作洽谈和签约工作；</w:t>
            </w:r>
          </w:p>
          <w:p>
            <w:pPr>
              <w:widowControl/>
              <w:spacing w:line="200" w:lineRule="exact"/>
              <w:ind w:left="0" w:leftChars="0" w:firstLine="0" w:firstLineChars="0"/>
              <w:jc w:val="left"/>
              <w:rPr>
                <w:rFonts w:ascii="仿宋_GB2312" w:hAnsi="仿宋_GB2312" w:eastAsia="仿宋_GB2312" w:cs="仿宋_GB2312"/>
                <w:sz w:val="18"/>
                <w:szCs w:val="18"/>
                <w:shd w:val="clear" w:color="auto" w:fill="FFFFFF"/>
              </w:rPr>
            </w:pPr>
            <w:r>
              <w:rPr>
                <w:rFonts w:hint="eastAsia" w:ascii="仿宋_GB2312" w:hAnsi="仿宋_GB2312" w:eastAsia="仿宋_GB2312" w:cs="仿宋_GB2312"/>
                <w:sz w:val="18"/>
                <w:szCs w:val="18"/>
                <w:shd w:val="clear" w:color="auto" w:fill="FFFFFF"/>
              </w:rPr>
              <w:t>7.对已投项目进行投后管理，定期进行汇报。</w:t>
            </w:r>
          </w:p>
        </w:tc>
        <w:tc>
          <w:tcPr>
            <w:tcW w:w="2406" w:type="pct"/>
            <w:tcBorders>
              <w:top w:val="nil"/>
              <w:left w:val="single" w:color="000000" w:sz="4" w:space="0"/>
              <w:bottom w:val="single" w:color="000000" w:sz="4" w:space="0"/>
              <w:right w:val="single" w:color="000000" w:sz="4" w:space="0"/>
            </w:tcBorders>
            <w:shd w:val="clear" w:color="auto" w:fill="auto"/>
            <w:vAlign w:val="center"/>
          </w:tcPr>
          <w:p>
            <w:pPr>
              <w:widowControl/>
              <w:spacing w:line="200" w:lineRule="exact"/>
              <w:ind w:left="0" w:leftChars="0" w:firstLine="0" w:firstLineChars="0"/>
              <w:rPr>
                <w:rFonts w:ascii="仿宋_GB2312" w:hAnsi="仿宋_GB2312" w:eastAsia="仿宋_GB2312" w:cs="仿宋_GB2312"/>
                <w:sz w:val="18"/>
                <w:szCs w:val="18"/>
                <w:shd w:val="clear" w:color="auto" w:fill="FFFFFF"/>
              </w:rPr>
            </w:pPr>
            <w:r>
              <w:rPr>
                <w:rFonts w:hint="eastAsia" w:ascii="仿宋_GB2312" w:hAnsi="仿宋_GB2312" w:eastAsia="仿宋_GB2312" w:cs="仿宋_GB2312"/>
                <w:sz w:val="18"/>
                <w:szCs w:val="18"/>
                <w:shd w:val="clear" w:color="auto" w:fill="FFFFFF"/>
              </w:rPr>
              <w:t>1.年龄：40周岁以下（含40岁）；</w:t>
            </w:r>
          </w:p>
          <w:p>
            <w:pPr>
              <w:widowControl/>
              <w:spacing w:line="200" w:lineRule="exact"/>
              <w:ind w:left="0" w:leftChars="0" w:firstLine="0" w:firstLineChars="0"/>
              <w:rPr>
                <w:rFonts w:ascii="仿宋_GB2312" w:hAnsi="仿宋_GB2312" w:eastAsia="仿宋_GB2312" w:cs="仿宋_GB2312"/>
                <w:sz w:val="18"/>
                <w:szCs w:val="18"/>
                <w:shd w:val="clear" w:color="auto" w:fill="FFFFFF"/>
              </w:rPr>
            </w:pPr>
            <w:r>
              <w:rPr>
                <w:rFonts w:hint="eastAsia" w:ascii="仿宋_GB2312" w:hAnsi="仿宋_GB2312" w:eastAsia="仿宋_GB2312" w:cs="仿宋_GB2312"/>
                <w:sz w:val="18"/>
                <w:szCs w:val="18"/>
                <w:shd w:val="clear" w:color="auto" w:fill="FFFFFF"/>
              </w:rPr>
              <w:t xml:space="preserve">2.性别：不限； </w:t>
            </w:r>
          </w:p>
          <w:p>
            <w:pPr>
              <w:widowControl/>
              <w:spacing w:line="200" w:lineRule="exact"/>
              <w:ind w:left="0" w:leftChars="0" w:firstLine="0" w:firstLineChars="0"/>
              <w:rPr>
                <w:rFonts w:ascii="仿宋_GB2312" w:hAnsi="仿宋_GB2312" w:eastAsia="仿宋_GB2312" w:cs="仿宋_GB2312"/>
                <w:sz w:val="18"/>
                <w:szCs w:val="18"/>
                <w:shd w:val="clear" w:color="auto" w:fill="FFFFFF"/>
              </w:rPr>
            </w:pPr>
            <w:r>
              <w:rPr>
                <w:rFonts w:hint="eastAsia" w:ascii="仿宋_GB2312" w:hAnsi="仿宋_GB2312" w:eastAsia="仿宋_GB2312" w:cs="仿宋_GB2312"/>
                <w:sz w:val="18"/>
                <w:szCs w:val="18"/>
                <w:shd w:val="clear" w:color="auto" w:fill="FFFFFF"/>
              </w:rPr>
              <w:t>3.学历及专业：本科及以上学历，投资、金融、经济管理、法律、工商管理等等相关专业</w:t>
            </w:r>
            <w:r>
              <w:rPr>
                <w:rFonts w:hint="eastAsia" w:ascii="仿宋_GB2312" w:hAnsi="仿宋_GB2312" w:eastAsia="仿宋_GB2312" w:cs="仿宋_GB2312"/>
                <w:sz w:val="18"/>
                <w:szCs w:val="18"/>
                <w:shd w:val="clear" w:color="auto" w:fill="FFFFFF"/>
                <w:lang w:eastAsia="zh-CN"/>
              </w:rPr>
              <w:t>，</w:t>
            </w:r>
            <w:r>
              <w:rPr>
                <w:rFonts w:hint="eastAsia" w:ascii="仿宋_GB2312" w:hAnsi="仿宋_GB2312" w:eastAsia="仿宋_GB2312" w:cs="仿宋_GB2312"/>
                <w:sz w:val="18"/>
                <w:szCs w:val="18"/>
                <w:shd w:val="clear" w:color="auto" w:fill="FFFFFF"/>
              </w:rPr>
              <w:t>硕士研究生以上者优先考虑；</w:t>
            </w:r>
          </w:p>
          <w:p>
            <w:pPr>
              <w:widowControl/>
              <w:spacing w:line="200" w:lineRule="exact"/>
              <w:ind w:left="0" w:leftChars="0" w:firstLine="0" w:firstLineChars="0"/>
              <w:rPr>
                <w:rFonts w:ascii="仿宋_GB2312" w:hAnsi="仿宋_GB2312" w:eastAsia="仿宋_GB2312" w:cs="仿宋_GB2312"/>
                <w:sz w:val="18"/>
                <w:szCs w:val="18"/>
                <w:shd w:val="clear" w:color="auto" w:fill="FFFFFF"/>
              </w:rPr>
            </w:pPr>
            <w:r>
              <w:rPr>
                <w:rFonts w:hint="eastAsia" w:ascii="仿宋_GB2312" w:hAnsi="仿宋_GB2312" w:eastAsia="仿宋_GB2312" w:cs="仿宋_GB2312"/>
                <w:sz w:val="18"/>
                <w:szCs w:val="18"/>
                <w:shd w:val="clear" w:color="auto" w:fill="FFFFFF"/>
              </w:rPr>
              <w:t>4.工作经验具备5年以上下列工作经验之一：</w:t>
            </w:r>
          </w:p>
          <w:p>
            <w:pPr>
              <w:widowControl/>
              <w:spacing w:line="200" w:lineRule="exact"/>
              <w:ind w:left="0" w:leftChars="0" w:firstLine="0" w:firstLineChars="0"/>
              <w:rPr>
                <w:rFonts w:ascii="仿宋_GB2312" w:hAnsi="仿宋_GB2312" w:eastAsia="仿宋_GB2312" w:cs="仿宋_GB2312"/>
                <w:sz w:val="18"/>
                <w:szCs w:val="18"/>
                <w:shd w:val="clear" w:color="auto" w:fill="FFFFFF"/>
              </w:rPr>
            </w:pPr>
            <w:r>
              <w:rPr>
                <w:rFonts w:hint="eastAsia" w:ascii="仿宋_GB2312" w:hAnsi="仿宋_GB2312" w:eastAsia="仿宋_GB2312" w:cs="仿宋_GB2312"/>
                <w:sz w:val="18"/>
                <w:szCs w:val="18"/>
                <w:shd w:val="clear" w:color="auto" w:fill="FFFFFF"/>
              </w:rPr>
              <w:t>1）在商业银行、证券公司、基金管理公司、期货公司、信托公司、保险公司及相关资产管理子公司等金融机构从事资产管理、自有资金股权投资、发行保荐等相关业务，并担任基金经理、投资经理、信托经理、保荐代表人等以上职务，或者担任前述金融机构高级管理人员或者具有相当职位管理经验；</w:t>
            </w:r>
          </w:p>
          <w:p>
            <w:pPr>
              <w:widowControl/>
              <w:spacing w:line="200" w:lineRule="exact"/>
              <w:ind w:left="0" w:leftChars="0" w:firstLine="0" w:firstLineChars="0"/>
              <w:rPr>
                <w:rFonts w:ascii="仿宋_GB2312" w:hAnsi="仿宋_GB2312" w:eastAsia="仿宋_GB2312" w:cs="仿宋_GB2312"/>
                <w:sz w:val="18"/>
                <w:szCs w:val="18"/>
                <w:shd w:val="clear" w:color="auto" w:fill="FFFFFF"/>
              </w:rPr>
            </w:pPr>
            <w:r>
              <w:rPr>
                <w:rFonts w:hint="eastAsia" w:ascii="仿宋_GB2312" w:hAnsi="仿宋_GB2312" w:eastAsia="仿宋_GB2312" w:cs="仿宋_GB2312"/>
                <w:sz w:val="18"/>
                <w:szCs w:val="18"/>
                <w:shd w:val="clear" w:color="auto" w:fill="FFFFFF"/>
              </w:rPr>
              <w:t>2）在地市级以上政府及其授权机构控制的企业、上市公司从事股权投资管理相关工作并担任投资负责人，或者担任高级管理人员或者具有相当职位管理经验；</w:t>
            </w:r>
          </w:p>
          <w:p>
            <w:pPr>
              <w:widowControl/>
              <w:spacing w:line="200" w:lineRule="exact"/>
              <w:ind w:left="0" w:leftChars="0" w:firstLine="0" w:firstLineChars="0"/>
              <w:rPr>
                <w:rFonts w:ascii="仿宋_GB2312" w:hAnsi="仿宋_GB2312" w:eastAsia="仿宋_GB2312" w:cs="仿宋_GB2312"/>
                <w:sz w:val="18"/>
                <w:szCs w:val="18"/>
                <w:shd w:val="clear" w:color="auto" w:fill="FFFFFF"/>
              </w:rPr>
            </w:pPr>
            <w:r>
              <w:rPr>
                <w:rFonts w:hint="eastAsia" w:ascii="仿宋_GB2312" w:hAnsi="仿宋_GB2312" w:eastAsia="仿宋_GB2312" w:cs="仿宋_GB2312"/>
                <w:sz w:val="18"/>
                <w:szCs w:val="18"/>
                <w:shd w:val="clear" w:color="auto" w:fill="FFFFFF"/>
              </w:rPr>
              <w:t>3）在私募股权基金管理人从事股权投资并担任基金经理以上职务，或者担任高级管理人员，其任职的私募基金管理人应当运作正常、合规稳健，任职期间无重大违法违规记录；</w:t>
            </w:r>
          </w:p>
          <w:p>
            <w:pPr>
              <w:widowControl/>
              <w:spacing w:line="200" w:lineRule="exact"/>
              <w:ind w:left="0" w:leftChars="0" w:firstLine="0" w:firstLineChars="0"/>
              <w:rPr>
                <w:rFonts w:ascii="仿宋_GB2312" w:hAnsi="仿宋_GB2312" w:eastAsia="仿宋_GB2312" w:cs="仿宋_GB2312"/>
                <w:sz w:val="18"/>
                <w:szCs w:val="18"/>
                <w:shd w:val="clear" w:color="auto" w:fill="FFFFFF"/>
              </w:rPr>
            </w:pPr>
            <w:r>
              <w:rPr>
                <w:rFonts w:hint="eastAsia" w:ascii="仿宋_GB2312" w:hAnsi="仿宋_GB2312" w:eastAsia="仿宋_GB2312" w:cs="仿宋_GB2312"/>
                <w:sz w:val="18"/>
                <w:szCs w:val="18"/>
                <w:shd w:val="clear" w:color="auto" w:fill="FFFFFF"/>
              </w:rPr>
              <w:t>4）在受境外金融监管部门监管的资产管理机构从事股权投资等相关业务，其任职的资产管理机构应当具备良好的国际声誉和经营业绩；</w:t>
            </w:r>
          </w:p>
          <w:p>
            <w:pPr>
              <w:widowControl/>
              <w:spacing w:line="200" w:lineRule="exact"/>
              <w:ind w:left="0" w:leftChars="0" w:firstLine="0" w:firstLineChars="0"/>
              <w:rPr>
                <w:rFonts w:ascii="仿宋_GB2312" w:hAnsi="仿宋_GB2312" w:eastAsia="仿宋_GB2312" w:cs="仿宋_GB2312"/>
                <w:sz w:val="18"/>
                <w:szCs w:val="18"/>
                <w:shd w:val="clear" w:color="auto" w:fill="FFFFFF"/>
              </w:rPr>
            </w:pPr>
            <w:r>
              <w:rPr>
                <w:rFonts w:hint="eastAsia" w:ascii="仿宋_GB2312" w:hAnsi="仿宋_GB2312" w:eastAsia="仿宋_GB2312" w:cs="仿宋_GB2312"/>
                <w:sz w:val="18"/>
                <w:szCs w:val="18"/>
                <w:shd w:val="clear" w:color="auto" w:fill="FFFFFF"/>
              </w:rPr>
              <w:t>5）在运作良好、合规稳健并具有一定经营规模的企业担任股权投资管理部门负责人，或者担任高级管理人员或者具有相当职位管理经验，或者在具备一定技术门槛的大中型企业担任相关专业技术职务，或者是科研院校相关领域</w:t>
            </w:r>
            <w:r>
              <w:rPr>
                <w:rFonts w:hint="eastAsia" w:ascii="仿宋_GB2312" w:hAnsi="仿宋_GB2312" w:eastAsia="仿宋_GB2312" w:cs="仿宋_GB2312"/>
                <w:sz w:val="18"/>
                <w:szCs w:val="18"/>
                <w:shd w:val="clear" w:color="auto" w:fill="FFFFFF"/>
                <w:lang w:eastAsia="zh-CN"/>
              </w:rPr>
              <w:t>（</w:t>
            </w:r>
            <w:r>
              <w:rPr>
                <w:rFonts w:hint="eastAsia" w:ascii="仿宋_GB2312" w:hAnsi="仿宋_GB2312" w:eastAsia="仿宋_GB2312" w:cs="仿宋_GB2312"/>
                <w:sz w:val="18"/>
                <w:szCs w:val="18"/>
                <w:shd w:val="clear" w:color="auto" w:fill="FFFFFF"/>
                <w:lang w:val="en-US" w:eastAsia="zh-CN"/>
              </w:rPr>
              <w:t>新能源电池产业、石化产业、冶金产业等</w:t>
            </w:r>
            <w:r>
              <w:rPr>
                <w:rFonts w:hint="eastAsia" w:ascii="仿宋_GB2312" w:hAnsi="仿宋_GB2312" w:eastAsia="仿宋_GB2312" w:cs="仿宋_GB2312"/>
                <w:sz w:val="18"/>
                <w:szCs w:val="18"/>
                <w:shd w:val="clear" w:color="auto" w:fill="FFFFFF"/>
                <w:lang w:eastAsia="zh-CN"/>
              </w:rPr>
              <w:t>）</w:t>
            </w:r>
            <w:r>
              <w:rPr>
                <w:rFonts w:hint="eastAsia" w:ascii="仿宋_GB2312" w:hAnsi="仿宋_GB2312" w:eastAsia="仿宋_GB2312" w:cs="仿宋_GB2312"/>
                <w:sz w:val="18"/>
                <w:szCs w:val="18"/>
                <w:shd w:val="clear" w:color="auto" w:fill="FFFFFF"/>
              </w:rPr>
              <w:t>的专家教授、研究人员；</w:t>
            </w:r>
          </w:p>
          <w:p>
            <w:pPr>
              <w:widowControl/>
              <w:spacing w:line="200" w:lineRule="exact"/>
              <w:ind w:left="0" w:leftChars="0" w:firstLine="0" w:firstLineChars="0"/>
              <w:rPr>
                <w:rFonts w:ascii="仿宋_GB2312" w:hAnsi="仿宋_GB2312" w:eastAsia="仿宋_GB2312" w:cs="仿宋_GB2312"/>
                <w:sz w:val="18"/>
                <w:szCs w:val="18"/>
                <w:shd w:val="clear" w:color="auto" w:fill="FFFFFF"/>
              </w:rPr>
            </w:pPr>
            <w:r>
              <w:rPr>
                <w:rFonts w:hint="eastAsia" w:ascii="仿宋_GB2312" w:hAnsi="仿宋_GB2312" w:eastAsia="仿宋_GB2312" w:cs="仿宋_GB2312"/>
                <w:sz w:val="18"/>
                <w:szCs w:val="18"/>
                <w:shd w:val="clear" w:color="auto" w:fill="FFFFFF"/>
              </w:rPr>
              <w:t>5.最近 10 年内具有至少 2 起投资于未上市企业股权的项目经验（并在其中发挥主导作用），投资金额合计不低于 3000 万元人民币，且至少应有 1 起项目通过首次公开发行股票并上市、股权并购或者股权转让等方式退出，并提供投资项目证明材料。（主导作用是指参与了尽职调查、投资决策等重要环节，并发挥了关键性作用。投资项目证明材料应完整体现尽职调查、投资决策、工商确权、项目退出（如有）等各个环节，包括但不限于签章齐全的尽职调查报告（需原任职机构公章）、投决会决议（需原任职机构公章）、投资标的确权材料、股权转让协议或其他材料。涉及境外投资的应提供中文翻译件。）；</w:t>
            </w:r>
          </w:p>
          <w:p>
            <w:pPr>
              <w:widowControl/>
              <w:spacing w:line="200" w:lineRule="exact"/>
              <w:ind w:left="0" w:leftChars="0" w:firstLine="0" w:firstLineChars="0"/>
              <w:rPr>
                <w:rFonts w:ascii="仿宋_GB2312" w:hAnsi="仿宋_GB2312" w:eastAsia="仿宋_GB2312" w:cs="仿宋_GB2312"/>
                <w:sz w:val="18"/>
                <w:szCs w:val="18"/>
                <w:shd w:val="clear" w:color="auto" w:fill="FFFFFF"/>
              </w:rPr>
            </w:pPr>
            <w:r>
              <w:rPr>
                <w:rFonts w:hint="eastAsia" w:ascii="仿宋_GB2312" w:hAnsi="仿宋_GB2312" w:eastAsia="仿宋_GB2312" w:cs="仿宋_GB2312"/>
                <w:sz w:val="18"/>
                <w:szCs w:val="18"/>
                <w:shd w:val="clear" w:color="auto" w:fill="FFFFFF"/>
              </w:rPr>
              <w:t>6.须取得基金从业资格证，拥有CFA、CPA证书者优先考虑；：</w:t>
            </w:r>
          </w:p>
          <w:p>
            <w:pPr>
              <w:widowControl/>
              <w:spacing w:line="200" w:lineRule="exact"/>
              <w:ind w:left="0" w:leftChars="0" w:firstLine="0" w:firstLineChars="0"/>
              <w:rPr>
                <w:rFonts w:hint="eastAsia" w:ascii="仿宋_GB2312" w:hAnsi="仿宋_GB2312" w:eastAsia="仿宋_GB2312" w:cs="仿宋_GB2312"/>
                <w:sz w:val="18"/>
                <w:szCs w:val="18"/>
                <w:shd w:val="clear" w:color="auto" w:fill="FFFFFF"/>
              </w:rPr>
            </w:pPr>
            <w:r>
              <w:rPr>
                <w:rFonts w:hint="eastAsia" w:ascii="仿宋_GB2312" w:hAnsi="仿宋_GB2312" w:eastAsia="仿宋_GB2312" w:cs="仿宋_GB2312"/>
                <w:sz w:val="18"/>
                <w:szCs w:val="18"/>
                <w:shd w:val="clear" w:color="auto" w:fill="FFFFFF"/>
              </w:rPr>
              <w:t>7.具有较强的行业分析、项目尽职调查、评估分析和判断能力</w:t>
            </w:r>
          </w:p>
          <w:p>
            <w:pPr>
              <w:widowControl/>
              <w:spacing w:line="200" w:lineRule="exact"/>
              <w:ind w:left="0" w:leftChars="0" w:firstLine="0" w:firstLineChars="0"/>
              <w:rPr>
                <w:rFonts w:ascii="仿宋_GB2312" w:hAnsi="仿宋_GB2312" w:eastAsia="仿宋_GB2312" w:cs="仿宋_GB2312"/>
                <w:sz w:val="18"/>
                <w:szCs w:val="18"/>
                <w:shd w:val="clear" w:color="auto" w:fill="FFFFFF"/>
              </w:rPr>
            </w:pPr>
            <w:r>
              <w:rPr>
                <w:rFonts w:hint="eastAsia" w:ascii="仿宋_GB2312" w:hAnsi="仿宋_GB2312" w:eastAsia="仿宋_GB2312" w:cs="仿宋_GB2312"/>
                <w:sz w:val="18"/>
                <w:szCs w:val="18"/>
                <w:shd w:val="clear" w:color="auto" w:fill="FFFFFF"/>
              </w:rPr>
              <w:t>8.具有一定的商务谈判能力；良好的投资分析能力、文字表达能力、协调沟通能力和项目推介能力；具有较强的抗压能力；</w:t>
            </w:r>
          </w:p>
          <w:p>
            <w:pPr>
              <w:widowControl/>
              <w:spacing w:line="200" w:lineRule="exact"/>
              <w:ind w:left="0" w:leftChars="0" w:firstLine="0" w:firstLineChars="0"/>
              <w:rPr>
                <w:rFonts w:ascii="仿宋_GB2312" w:hAnsi="仿宋_GB2312" w:eastAsia="仿宋_GB2312" w:cs="仿宋_GB2312"/>
                <w:sz w:val="18"/>
                <w:szCs w:val="18"/>
                <w:shd w:val="clear" w:color="auto" w:fill="FFFFFF"/>
              </w:rPr>
            </w:pPr>
            <w:r>
              <w:rPr>
                <w:rFonts w:hint="eastAsia" w:ascii="仿宋_GB2312" w:hAnsi="仿宋_GB2312" w:eastAsia="仿宋_GB2312" w:cs="仿宋_GB2312"/>
                <w:sz w:val="18"/>
                <w:szCs w:val="18"/>
                <w:shd w:val="clear" w:color="auto" w:fill="FFFFFF"/>
              </w:rPr>
              <w:t xml:space="preserve">9.具有较强的团队合作意识和创业敬业精神及责任担当； </w:t>
            </w:r>
          </w:p>
          <w:p>
            <w:pPr>
              <w:widowControl/>
              <w:spacing w:line="200" w:lineRule="exact"/>
              <w:ind w:left="0" w:leftChars="0" w:firstLine="0" w:firstLineChars="0"/>
              <w:rPr>
                <w:rFonts w:ascii="仿宋_GB2312" w:hAnsi="仿宋_GB2312" w:eastAsia="仿宋_GB2312" w:cs="仿宋_GB2312"/>
                <w:sz w:val="18"/>
                <w:szCs w:val="18"/>
                <w:shd w:val="clear" w:color="auto" w:fill="FFFFFF"/>
              </w:rPr>
            </w:pPr>
            <w:r>
              <w:rPr>
                <w:rFonts w:hint="eastAsia" w:ascii="仿宋_GB2312" w:hAnsi="仿宋_GB2312" w:eastAsia="仿宋_GB2312" w:cs="仿宋_GB2312"/>
                <w:sz w:val="18"/>
                <w:szCs w:val="18"/>
                <w:shd w:val="clear" w:color="auto" w:fill="FFFFFF"/>
              </w:rPr>
              <w:t>10.适应国企工作制度及工作方式，理解国企价值观；</w:t>
            </w:r>
          </w:p>
          <w:p>
            <w:pPr>
              <w:widowControl/>
              <w:spacing w:line="200" w:lineRule="exact"/>
              <w:ind w:left="0" w:leftChars="0" w:firstLine="0" w:firstLineChars="0"/>
              <w:rPr>
                <w:rFonts w:ascii="仿宋_GB2312" w:hAnsi="仿宋_GB2312" w:eastAsia="仿宋_GB2312" w:cs="仿宋_GB2312"/>
                <w:sz w:val="18"/>
                <w:szCs w:val="18"/>
                <w:shd w:val="clear" w:color="auto" w:fill="FFFFFF"/>
              </w:rPr>
            </w:pPr>
            <w:r>
              <w:rPr>
                <w:rFonts w:hint="eastAsia" w:ascii="仿宋_GB2312" w:hAnsi="仿宋_GB2312" w:eastAsia="仿宋_GB2312" w:cs="仿宋_GB2312"/>
                <w:sz w:val="18"/>
                <w:szCs w:val="18"/>
                <w:shd w:val="clear" w:color="auto" w:fill="FFFFFF"/>
              </w:rPr>
              <w:t>11.未受到过严重警告及以上党纪处分、行政记大过及以上政纪处分和刑事处罚，个人信用记录良好；</w:t>
            </w:r>
          </w:p>
          <w:p>
            <w:pPr>
              <w:widowControl/>
              <w:spacing w:line="200" w:lineRule="exact"/>
              <w:ind w:left="0" w:leftChars="0" w:firstLine="0" w:firstLineChars="0"/>
              <w:rPr>
                <w:rFonts w:ascii="仿宋_GB2312" w:hAnsi="仿宋_GB2312" w:eastAsia="仿宋_GB2312" w:cs="仿宋_GB2312"/>
                <w:sz w:val="18"/>
                <w:szCs w:val="18"/>
                <w:shd w:val="clear" w:color="auto" w:fill="FFFFFF"/>
              </w:rPr>
            </w:pPr>
            <w:r>
              <w:rPr>
                <w:rFonts w:hint="eastAsia" w:ascii="仿宋_GB2312" w:hAnsi="仿宋_GB2312" w:eastAsia="仿宋_GB2312" w:cs="仿宋_GB2312"/>
                <w:sz w:val="18"/>
                <w:szCs w:val="18"/>
                <w:shd w:val="clear" w:color="auto" w:fill="FFFFFF"/>
              </w:rPr>
              <w:t>12.符合任职回避等有关规定。</w:t>
            </w:r>
          </w:p>
          <w:p>
            <w:pPr>
              <w:widowControl/>
              <w:spacing w:line="200" w:lineRule="exact"/>
              <w:ind w:left="0" w:leftChars="0" w:firstLine="0" w:firstLineChars="0"/>
              <w:rPr>
                <w:rFonts w:ascii="仿宋_GB2312" w:hAnsi="仿宋_GB2312" w:eastAsia="仿宋_GB2312" w:cs="仿宋_GB2312"/>
                <w:sz w:val="18"/>
                <w:szCs w:val="18"/>
                <w:shd w:val="clear" w:color="auto" w:fill="FFFFFF"/>
              </w:rPr>
            </w:pPr>
            <w:bookmarkStart w:id="0" w:name="_GoBack"/>
            <w:bookmarkEnd w:id="0"/>
            <w:r>
              <w:rPr>
                <w:rFonts w:hint="eastAsia" w:ascii="仿宋_GB2312" w:hAnsi="仿宋_GB2312" w:eastAsia="仿宋_GB2312" w:cs="仿宋_GB2312"/>
                <w:sz w:val="18"/>
                <w:szCs w:val="18"/>
                <w:shd w:val="clear" w:color="auto" w:fill="FFFFFF"/>
              </w:rPr>
              <w:t>13.</w:t>
            </w:r>
            <w:r>
              <w:rPr>
                <w:rFonts w:hint="eastAsia" w:ascii="仿宋_GB2312" w:hAnsi="仿宋_GB2312" w:eastAsia="仿宋_GB2312" w:cs="仿宋_GB2312"/>
                <w:b w:val="0"/>
                <w:bCs w:val="0"/>
                <w:sz w:val="18"/>
                <w:szCs w:val="18"/>
                <w:shd w:val="clear" w:color="auto" w:fill="FFFFFF"/>
              </w:rPr>
              <w:t>24个月内为2家及以上已登记私募基金管理人提交相同</w:t>
            </w:r>
            <w:r>
              <w:rPr>
                <w:rFonts w:hint="eastAsia" w:ascii="仿宋_GB2312" w:hAnsi="仿宋_GB2312" w:eastAsia="仿宋_GB2312" w:cs="仿宋_GB2312"/>
                <w:sz w:val="18"/>
                <w:szCs w:val="18"/>
                <w:shd w:val="clear" w:color="auto" w:fill="FFFFFF"/>
              </w:rPr>
              <w:t>投资项目证明</w:t>
            </w:r>
            <w:r>
              <w:rPr>
                <w:rFonts w:hint="eastAsia" w:ascii="仿宋_GB2312" w:hAnsi="仿宋_GB2312" w:eastAsia="仿宋_GB2312" w:cs="仿宋_GB2312"/>
                <w:b w:val="0"/>
                <w:bCs w:val="0"/>
                <w:sz w:val="18"/>
                <w:szCs w:val="18"/>
                <w:shd w:val="clear" w:color="auto" w:fill="FFFFFF"/>
              </w:rPr>
              <w:t>材料的不予认可。</w:t>
            </w:r>
          </w:p>
          <w:p>
            <w:pPr>
              <w:pStyle w:val="3"/>
              <w:ind w:firstLine="482"/>
              <w:rPr>
                <w:sz w:val="18"/>
                <w:szCs w:val="18"/>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00" w:lineRule="exact"/>
              <w:ind w:firstLine="0" w:firstLineChars="0"/>
              <w:rPr>
                <w:rFonts w:ascii="仿宋_GB2312" w:hAnsi="仿宋_GB2312" w:eastAsia="仿宋_GB2312" w:cs="仿宋_GB2312"/>
                <w:sz w:val="18"/>
                <w:szCs w:val="18"/>
                <w:shd w:val="clear" w:color="auto" w:fill="FFFFFF"/>
              </w:rPr>
            </w:pPr>
            <w:r>
              <w:rPr>
                <w:rFonts w:hint="eastAsia" w:ascii="仿宋_GB2312" w:hAnsi="仿宋_GB2312" w:eastAsia="仿宋_GB2312" w:cs="仿宋_GB2312"/>
                <w:sz w:val="18"/>
                <w:szCs w:val="18"/>
                <w:shd w:val="clear" w:color="auto" w:fill="FFFFFF"/>
              </w:rPr>
              <w:t>30-35万</w:t>
            </w:r>
          </w:p>
        </w:tc>
      </w:tr>
      <w:tr>
        <w:tblPrEx>
          <w:tblCellMar>
            <w:top w:w="0" w:type="dxa"/>
            <w:left w:w="108" w:type="dxa"/>
            <w:bottom w:w="0" w:type="dxa"/>
            <w:right w:w="108" w:type="dxa"/>
          </w:tblCellMar>
        </w:tblPrEx>
        <w:trPr>
          <w:trHeight w:val="520" w:hRule="atLeast"/>
        </w:trPr>
        <w:tc>
          <w:tcPr>
            <w:tcW w:w="389" w:type="pct"/>
            <w:tcBorders>
              <w:top w:val="nil"/>
              <w:left w:val="nil"/>
              <w:bottom w:val="nil"/>
              <w:right w:val="nil"/>
            </w:tcBorders>
            <w:shd w:val="clear" w:color="auto" w:fill="auto"/>
            <w:noWrap/>
            <w:vAlign w:val="center"/>
          </w:tcPr>
          <w:p>
            <w:pPr>
              <w:spacing w:line="200" w:lineRule="exact"/>
              <w:ind w:firstLine="440"/>
              <w:jc w:val="center"/>
              <w:rPr>
                <w:rFonts w:ascii="宋体" w:hAnsi="宋体" w:eastAsia="宋体" w:cs="宋体"/>
                <w:color w:val="000000"/>
                <w:sz w:val="22"/>
                <w:szCs w:val="22"/>
              </w:rPr>
            </w:pPr>
          </w:p>
        </w:tc>
        <w:tc>
          <w:tcPr>
            <w:tcW w:w="996" w:type="pct"/>
            <w:tcBorders>
              <w:top w:val="nil"/>
              <w:left w:val="nil"/>
              <w:bottom w:val="nil"/>
              <w:right w:val="nil"/>
            </w:tcBorders>
            <w:shd w:val="clear" w:color="auto" w:fill="auto"/>
            <w:noWrap/>
            <w:vAlign w:val="center"/>
          </w:tcPr>
          <w:p>
            <w:pPr>
              <w:spacing w:line="200" w:lineRule="exact"/>
              <w:ind w:firstLine="440"/>
              <w:jc w:val="center"/>
              <w:rPr>
                <w:rFonts w:ascii="宋体" w:hAnsi="宋体" w:eastAsia="宋体" w:cs="宋体"/>
                <w:color w:val="000000"/>
                <w:sz w:val="22"/>
                <w:szCs w:val="22"/>
              </w:rPr>
            </w:pPr>
          </w:p>
        </w:tc>
        <w:tc>
          <w:tcPr>
            <w:tcW w:w="251" w:type="pct"/>
            <w:tcBorders>
              <w:top w:val="nil"/>
              <w:left w:val="nil"/>
              <w:bottom w:val="nil"/>
              <w:right w:val="nil"/>
            </w:tcBorders>
            <w:shd w:val="clear" w:color="auto" w:fill="auto"/>
            <w:noWrap/>
            <w:vAlign w:val="center"/>
          </w:tcPr>
          <w:p>
            <w:pPr>
              <w:spacing w:line="200" w:lineRule="exact"/>
              <w:ind w:firstLine="0" w:firstLineChars="0"/>
              <w:rPr>
                <w:rFonts w:ascii="宋体" w:hAnsi="宋体" w:eastAsia="宋体" w:cs="宋体"/>
                <w:color w:val="000000"/>
                <w:sz w:val="22"/>
                <w:szCs w:val="22"/>
              </w:rPr>
            </w:pPr>
          </w:p>
        </w:tc>
        <w:tc>
          <w:tcPr>
            <w:tcW w:w="749" w:type="pct"/>
            <w:tcBorders>
              <w:top w:val="nil"/>
              <w:left w:val="nil"/>
              <w:bottom w:val="nil"/>
              <w:right w:val="nil"/>
            </w:tcBorders>
            <w:shd w:val="clear" w:color="auto" w:fill="auto"/>
            <w:noWrap/>
            <w:vAlign w:val="center"/>
          </w:tcPr>
          <w:p>
            <w:pPr>
              <w:spacing w:line="200" w:lineRule="exact"/>
              <w:ind w:firstLine="440"/>
              <w:jc w:val="center"/>
              <w:rPr>
                <w:rFonts w:ascii="宋体" w:hAnsi="宋体" w:eastAsia="宋体" w:cs="宋体"/>
                <w:color w:val="000000"/>
                <w:sz w:val="22"/>
                <w:szCs w:val="22"/>
              </w:rPr>
            </w:pPr>
          </w:p>
        </w:tc>
        <w:tc>
          <w:tcPr>
            <w:tcW w:w="2406" w:type="pct"/>
            <w:tcBorders>
              <w:top w:val="nil"/>
              <w:left w:val="nil"/>
              <w:bottom w:val="nil"/>
              <w:right w:val="nil"/>
            </w:tcBorders>
            <w:shd w:val="clear" w:color="auto" w:fill="auto"/>
            <w:noWrap/>
            <w:vAlign w:val="center"/>
          </w:tcPr>
          <w:p>
            <w:pPr>
              <w:spacing w:line="200" w:lineRule="exact"/>
              <w:ind w:firstLine="440"/>
              <w:jc w:val="center"/>
              <w:rPr>
                <w:rFonts w:ascii="宋体" w:hAnsi="宋体" w:eastAsia="宋体" w:cs="宋体"/>
                <w:color w:val="000000"/>
                <w:sz w:val="22"/>
                <w:szCs w:val="22"/>
              </w:rPr>
            </w:pPr>
          </w:p>
        </w:tc>
        <w:tc>
          <w:tcPr>
            <w:tcW w:w="207" w:type="pct"/>
            <w:tcBorders>
              <w:top w:val="nil"/>
              <w:left w:val="nil"/>
              <w:bottom w:val="nil"/>
              <w:right w:val="nil"/>
            </w:tcBorders>
            <w:shd w:val="clear" w:color="auto" w:fill="auto"/>
            <w:noWrap/>
            <w:vAlign w:val="center"/>
          </w:tcPr>
          <w:p>
            <w:pPr>
              <w:spacing w:line="200" w:lineRule="exact"/>
              <w:ind w:firstLine="440"/>
              <w:jc w:val="center"/>
              <w:rPr>
                <w:rFonts w:ascii="宋体" w:hAnsi="宋体" w:eastAsia="宋体" w:cs="宋体"/>
                <w:color w:val="000000"/>
                <w:sz w:val="22"/>
                <w:szCs w:val="22"/>
              </w:rPr>
            </w:pPr>
          </w:p>
        </w:tc>
      </w:tr>
      <w:tr>
        <w:tblPrEx>
          <w:tblCellMar>
            <w:top w:w="0" w:type="dxa"/>
            <w:left w:w="108" w:type="dxa"/>
            <w:bottom w:w="0" w:type="dxa"/>
            <w:right w:w="108" w:type="dxa"/>
          </w:tblCellMar>
        </w:tblPrEx>
        <w:trPr>
          <w:trHeight w:val="594" w:hRule="atLeast"/>
        </w:trPr>
        <w:tc>
          <w:tcPr>
            <w:tcW w:w="4792" w:type="pct"/>
            <w:gridSpan w:val="5"/>
            <w:tcBorders>
              <w:top w:val="nil"/>
              <w:left w:val="nil"/>
              <w:bottom w:val="nil"/>
              <w:right w:val="nil"/>
            </w:tcBorders>
            <w:shd w:val="clear" w:color="auto" w:fill="auto"/>
            <w:noWrap/>
            <w:vAlign w:val="center"/>
          </w:tcPr>
          <w:p>
            <w:pPr>
              <w:spacing w:line="200" w:lineRule="exact"/>
              <w:ind w:firstLine="0" w:firstLineChars="0"/>
              <w:rPr>
                <w:rFonts w:ascii="仿宋_GB2312" w:hAnsi="仿宋_GB2312" w:eastAsia="仿宋_GB2312" w:cs="仿宋_GB2312"/>
                <w:color w:val="000000"/>
                <w:sz w:val="28"/>
                <w:szCs w:val="28"/>
              </w:rPr>
            </w:pPr>
          </w:p>
        </w:tc>
        <w:tc>
          <w:tcPr>
            <w:tcW w:w="207" w:type="pct"/>
            <w:tcBorders>
              <w:top w:val="nil"/>
              <w:left w:val="nil"/>
              <w:bottom w:val="nil"/>
              <w:right w:val="nil"/>
            </w:tcBorders>
            <w:shd w:val="clear" w:color="auto" w:fill="auto"/>
            <w:noWrap/>
            <w:vAlign w:val="center"/>
          </w:tcPr>
          <w:p>
            <w:pPr>
              <w:spacing w:line="200" w:lineRule="exact"/>
              <w:ind w:firstLine="560"/>
              <w:jc w:val="center"/>
              <w:rPr>
                <w:rFonts w:ascii="仿宋_GB2312" w:hAnsi="仿宋_GB2312" w:eastAsia="仿宋_GB2312" w:cs="仿宋_GB2312"/>
                <w:color w:val="000000"/>
                <w:sz w:val="28"/>
                <w:szCs w:val="28"/>
              </w:rPr>
            </w:pPr>
          </w:p>
        </w:tc>
      </w:tr>
      <w:tr>
        <w:tblPrEx>
          <w:tblCellMar>
            <w:top w:w="0" w:type="dxa"/>
            <w:left w:w="108" w:type="dxa"/>
            <w:bottom w:w="0" w:type="dxa"/>
            <w:right w:w="108" w:type="dxa"/>
          </w:tblCellMar>
        </w:tblPrEx>
        <w:trPr>
          <w:trHeight w:val="480" w:hRule="atLeast"/>
        </w:trPr>
        <w:tc>
          <w:tcPr>
            <w:tcW w:w="4792" w:type="pct"/>
            <w:gridSpan w:val="5"/>
            <w:tcBorders>
              <w:top w:val="nil"/>
              <w:left w:val="nil"/>
              <w:bottom w:val="nil"/>
              <w:right w:val="nil"/>
            </w:tcBorders>
            <w:shd w:val="clear" w:color="auto" w:fill="auto"/>
            <w:noWrap/>
            <w:vAlign w:val="center"/>
          </w:tcPr>
          <w:p>
            <w:pPr>
              <w:spacing w:line="200" w:lineRule="exact"/>
              <w:ind w:firstLine="0" w:firstLineChars="0"/>
              <w:rPr>
                <w:rFonts w:ascii="仿宋_GB2312" w:hAnsi="仿宋_GB2312" w:eastAsia="仿宋_GB2312" w:cs="仿宋_GB2312"/>
                <w:color w:val="000000"/>
                <w:sz w:val="28"/>
                <w:szCs w:val="28"/>
              </w:rPr>
            </w:pPr>
          </w:p>
        </w:tc>
        <w:tc>
          <w:tcPr>
            <w:tcW w:w="207" w:type="pct"/>
            <w:tcBorders>
              <w:top w:val="nil"/>
              <w:left w:val="nil"/>
              <w:bottom w:val="nil"/>
              <w:right w:val="nil"/>
            </w:tcBorders>
            <w:shd w:val="clear" w:color="auto" w:fill="auto"/>
            <w:noWrap/>
            <w:vAlign w:val="center"/>
          </w:tcPr>
          <w:p>
            <w:pPr>
              <w:spacing w:line="200" w:lineRule="exact"/>
              <w:ind w:firstLine="560"/>
              <w:jc w:val="center"/>
              <w:rPr>
                <w:rFonts w:ascii="仿宋_GB2312" w:hAnsi="仿宋_GB2312" w:eastAsia="仿宋_GB2312" w:cs="仿宋_GB2312"/>
                <w:color w:val="000000"/>
                <w:sz w:val="28"/>
                <w:szCs w:val="28"/>
              </w:rPr>
            </w:pPr>
          </w:p>
        </w:tc>
      </w:tr>
    </w:tbl>
    <w:p/>
    <w:sectPr>
      <w:pgSz w:w="16838" w:h="11906" w:orient="landscape"/>
      <w:pgMar w:top="1800" w:right="1440" w:bottom="180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09A5BC8B-0706-497C-804A-53A1A0F07D1F}"/>
  </w:font>
  <w:font w:name="Calibri Light">
    <w:panose1 w:val="020F0302020204030204"/>
    <w:charset w:val="00"/>
    <w:family w:val="swiss"/>
    <w:pitch w:val="default"/>
    <w:sig w:usb0="E4002EFF" w:usb1="C000247B" w:usb2="00000009" w:usb3="00000000" w:csb0="200001FF" w:csb1="00000000"/>
  </w:font>
  <w:font w:name="方正小标宋简体">
    <w:panose1 w:val="02000000000000000000"/>
    <w:charset w:val="86"/>
    <w:family w:val="script"/>
    <w:pitch w:val="default"/>
    <w:sig w:usb0="00000001" w:usb1="08000000" w:usb2="00000000" w:usb3="00000000" w:csb0="00040000" w:csb1="00000000"/>
    <w:embedRegular r:id="rId2" w:fontKey="{B9CC2141-DE67-46FD-8A36-707AF2C8BE67}"/>
  </w:font>
  <w:font w:name="仿宋_GB2312">
    <w:altName w:val="仿宋"/>
    <w:panose1 w:val="02010609030101010101"/>
    <w:charset w:val="86"/>
    <w:family w:val="modern"/>
    <w:pitch w:val="default"/>
    <w:sig w:usb0="00000000" w:usb1="00000000" w:usb2="00000000" w:usb3="00000000" w:csb0="00040000" w:csb1="00000000"/>
    <w:embedRegular r:id="rId3" w:fontKey="{095BB4EB-F418-422F-AFF3-95212FD4D9A5}"/>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I1MzE1YjBmNDQzZjQyZmEzMjZhZDg0ZTFhNWM3YjgifQ=="/>
  </w:docVars>
  <w:rsids>
    <w:rsidRoot w:val="00000000"/>
    <w:rsid w:val="2EEC47AA"/>
    <w:rsid w:val="664402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640" w:firstLineChars="200"/>
      <w:jc w:val="both"/>
    </w:pPr>
    <w:rPr>
      <w:rFonts w:asciiTheme="minorHAnsi" w:hAnsiTheme="minorHAnsi" w:eastAsiaTheme="minorEastAsia" w:cstheme="minorBidi"/>
      <w:kern w:val="2"/>
      <w:sz w:val="24"/>
      <w:szCs w:val="24"/>
      <w:lang w:val="en-US" w:eastAsia="zh-CN" w:bidi="ar-SA"/>
    </w:rPr>
  </w:style>
  <w:style w:type="paragraph" w:styleId="3">
    <w:name w:val="heading 2"/>
    <w:basedOn w:val="1"/>
    <w:next w:val="1"/>
    <w:qFormat/>
    <w:uiPriority w:val="0"/>
    <w:pPr>
      <w:keepNext/>
      <w:keepLines/>
      <w:spacing w:before="260" w:after="260" w:line="416" w:lineRule="auto"/>
      <w:jc w:val="left"/>
      <w:outlineLvl w:val="1"/>
    </w:pPr>
    <w:rPr>
      <w:rFonts w:ascii="Calibri Light" w:hAnsi="Calibri Light" w:eastAsia="黑体"/>
      <w:b/>
      <w:bCs/>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Plain Text"/>
    <w:basedOn w:val="1"/>
    <w:next w:val="1"/>
    <w:qFormat/>
    <w:uiPriority w:val="0"/>
    <w:rPr>
      <w:rFonts w:hAnsi="Courier New"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6">
    <w:name w:val="Normal (Web)"/>
    <w:basedOn w:val="1"/>
    <w:qFormat/>
    <w:uiPriority w:val="0"/>
    <w:pPr>
      <w:spacing w:beforeAutospacing="1" w:afterAutospacing="1"/>
      <w:jc w:val="left"/>
    </w:pPr>
    <w:rPr>
      <w:rFonts w:cs="Times New Roman"/>
      <w:kern w:val="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2023-10-11T06:28:00Z</dcterms:created>
  <dc:creator>Administrator</dc:creator>
  <cp:lastModifiedBy>YRF17</cp:lastModifiedBy>
  <dcterms:modified xsi:type="dcterms:W3CDTF">2023-10-11T06:40:35Z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6E02807D6DF64D01BEC696919C64B252_12</vt:lpwstr>
  </property>
</Properties>
</file>